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D3AE0">
      <w:pPr>
        <w:jc w:val="center"/>
        <w:rPr>
          <w:sz w:val="10"/>
          <w:szCs w:val="10"/>
        </w:rPr>
      </w:pPr>
      <w:bookmarkStart w:id="0" w:name="_GoBack"/>
      <w:bookmarkEnd w:id="0"/>
    </w:p>
    <w:p w14:paraId="50F3E0E6">
      <w:pPr>
        <w:jc w:val="center"/>
        <w:rPr>
          <w:sz w:val="44"/>
          <w:szCs w:val="44"/>
        </w:rPr>
      </w:pPr>
      <w:r>
        <w:rPr>
          <w:rFonts w:hint="eastAsia"/>
          <w:sz w:val="44"/>
          <w:szCs w:val="44"/>
        </w:rPr>
        <w:t>传真交易协议书</w:t>
      </w:r>
    </w:p>
    <w:p w14:paraId="322D248D"/>
    <w:p w14:paraId="4F21B09D">
      <w:pPr>
        <w:spacing w:line="360" w:lineRule="auto"/>
        <w:rPr>
          <w:sz w:val="24"/>
          <w:szCs w:val="24"/>
        </w:rPr>
      </w:pPr>
      <w:r>
        <w:rPr>
          <w:rFonts w:hint="eastAsia"/>
          <w:sz w:val="24"/>
          <w:szCs w:val="24"/>
        </w:rPr>
        <w:t xml:space="preserve">甲方：山证（上海）资产管理有限公司 </w:t>
      </w:r>
    </w:p>
    <w:p w14:paraId="2E2B4F1A">
      <w:pPr>
        <w:spacing w:line="360" w:lineRule="auto"/>
        <w:rPr>
          <w:sz w:val="24"/>
          <w:szCs w:val="24"/>
        </w:rPr>
      </w:pPr>
      <w:r>
        <w:rPr>
          <w:rFonts w:hint="eastAsia"/>
          <w:sz w:val="24"/>
          <w:szCs w:val="24"/>
        </w:rPr>
        <w:t>委托服务传真：021-38125914          传真联系电话：021-38126056</w:t>
      </w:r>
    </w:p>
    <w:p w14:paraId="527B1ACC">
      <w:pPr>
        <w:spacing w:line="360" w:lineRule="auto"/>
        <w:rPr>
          <w:sz w:val="24"/>
          <w:szCs w:val="24"/>
        </w:rPr>
      </w:pPr>
      <w:r>
        <w:rPr>
          <w:rFonts w:hint="eastAsia"/>
          <w:sz w:val="24"/>
          <w:szCs w:val="24"/>
        </w:rPr>
        <w:t>邮寄地址：上海市浦东新区塘桥街道陆家嘴滨江中心N5座山西证券7层 邮编：200127</w:t>
      </w:r>
    </w:p>
    <w:p w14:paraId="763959FC">
      <w:pPr>
        <w:spacing w:line="360" w:lineRule="auto"/>
        <w:rPr>
          <w:sz w:val="24"/>
          <w:szCs w:val="24"/>
        </w:rPr>
      </w:pPr>
      <w:r>
        <w:rPr>
          <w:rFonts w:hint="eastAsia"/>
          <w:sz w:val="24"/>
          <w:szCs w:val="24"/>
        </w:rPr>
        <w:t>公司网站：</w:t>
      </w:r>
      <w:r>
        <w:fldChar w:fldCharType="begin"/>
      </w:r>
      <w:r>
        <w:instrText xml:space="preserve"> HYPERLINK "http://www.i618.com.cn" </w:instrText>
      </w:r>
      <w:r>
        <w:fldChar w:fldCharType="separate"/>
      </w:r>
      <w:r>
        <w:rPr>
          <w:rStyle w:val="7"/>
          <w:rFonts w:hint="eastAsia"/>
          <w:sz w:val="24"/>
          <w:szCs w:val="24"/>
        </w:rPr>
        <w:t>www.i618.com.cn</w:t>
      </w:r>
      <w:r>
        <w:rPr>
          <w:rStyle w:val="7"/>
          <w:rFonts w:hint="eastAsia"/>
          <w:sz w:val="24"/>
          <w:szCs w:val="24"/>
        </w:rPr>
        <w:fldChar w:fldCharType="end"/>
      </w:r>
    </w:p>
    <w:p w14:paraId="102F86B0">
      <w:pPr>
        <w:spacing w:line="360" w:lineRule="auto"/>
        <w:rPr>
          <w:sz w:val="24"/>
          <w:szCs w:val="24"/>
        </w:rPr>
      </w:pPr>
    </w:p>
    <w:p w14:paraId="2DFA0B53">
      <w:pPr>
        <w:spacing w:line="360" w:lineRule="auto"/>
        <w:rPr>
          <w:sz w:val="24"/>
          <w:szCs w:val="24"/>
        </w:rPr>
      </w:pPr>
      <w:r>
        <w:rPr>
          <w:rFonts w:hint="eastAsia"/>
          <w:sz w:val="24"/>
          <w:szCs w:val="24"/>
        </w:rPr>
        <w:t>乙方（投资者名称）：</w:t>
      </w:r>
    </w:p>
    <w:p w14:paraId="7CE32D0D">
      <w:pPr>
        <w:spacing w:line="360" w:lineRule="auto"/>
        <w:rPr>
          <w:sz w:val="24"/>
          <w:szCs w:val="24"/>
        </w:rPr>
      </w:pPr>
      <w:r>
        <w:rPr>
          <w:rFonts w:hint="eastAsia"/>
          <w:sz w:val="24"/>
          <w:szCs w:val="24"/>
        </w:rPr>
        <w:t>基金账号：                          交易账号：</w:t>
      </w:r>
    </w:p>
    <w:p w14:paraId="2AEEFD9C">
      <w:pPr>
        <w:spacing w:line="360" w:lineRule="auto"/>
        <w:rPr>
          <w:sz w:val="24"/>
          <w:szCs w:val="24"/>
        </w:rPr>
      </w:pPr>
    </w:p>
    <w:p w14:paraId="33C1B727">
      <w:pPr>
        <w:spacing w:line="360" w:lineRule="auto"/>
        <w:ind w:firstLine="480" w:firstLineChars="200"/>
        <w:rPr>
          <w:sz w:val="24"/>
          <w:szCs w:val="24"/>
        </w:rPr>
      </w:pPr>
      <w:r>
        <w:rPr>
          <w:rFonts w:hint="eastAsia"/>
          <w:sz w:val="24"/>
          <w:szCs w:val="24"/>
        </w:rPr>
        <w:t>甲、乙双方依照国家有关法律、法规的规定，本着诚实信用、平等协商的原则，经甲、</w:t>
      </w:r>
    </w:p>
    <w:p w14:paraId="1C32C738">
      <w:pPr>
        <w:spacing w:line="360" w:lineRule="auto"/>
        <w:rPr>
          <w:sz w:val="24"/>
          <w:szCs w:val="24"/>
        </w:rPr>
      </w:pPr>
      <w:r>
        <w:rPr>
          <w:rFonts w:hint="eastAsia"/>
          <w:sz w:val="24"/>
          <w:szCs w:val="24"/>
        </w:rPr>
        <w:t>乙双方友好协商，就甲方为乙方提供传真交易服务事宜达成如下协议。</w:t>
      </w:r>
    </w:p>
    <w:p w14:paraId="308537C2">
      <w:pPr>
        <w:spacing w:line="360" w:lineRule="auto"/>
        <w:rPr>
          <w:sz w:val="24"/>
          <w:szCs w:val="24"/>
        </w:rPr>
      </w:pPr>
    </w:p>
    <w:p w14:paraId="04D9151C">
      <w:pPr>
        <w:spacing w:line="360" w:lineRule="auto"/>
        <w:rPr>
          <w:b/>
          <w:sz w:val="24"/>
          <w:szCs w:val="24"/>
        </w:rPr>
      </w:pPr>
      <w:r>
        <w:rPr>
          <w:rFonts w:hint="eastAsia"/>
          <w:b/>
          <w:sz w:val="24"/>
          <w:szCs w:val="24"/>
        </w:rPr>
        <w:t>一、传真交易及服务内容</w:t>
      </w:r>
    </w:p>
    <w:p w14:paraId="7B5F6957">
      <w:pPr>
        <w:spacing w:line="360" w:lineRule="auto"/>
        <w:ind w:firstLine="480" w:firstLineChars="200"/>
        <w:rPr>
          <w:sz w:val="24"/>
          <w:szCs w:val="24"/>
        </w:rPr>
      </w:pPr>
      <w:r>
        <w:rPr>
          <w:rFonts w:hint="eastAsia"/>
          <w:sz w:val="24"/>
          <w:szCs w:val="24"/>
        </w:rPr>
        <w:t>1. 本协议所称的“传真交易”是指乙方已在甲方销售机构开立基金账户、交易账户并签署本协议后，以传真方式向甲方提交</w:t>
      </w:r>
      <w:r>
        <w:rPr>
          <w:rFonts w:hint="eastAsia"/>
          <w:sz w:val="24"/>
          <w:szCs w:val="24"/>
          <w:lang w:val="en-US" w:eastAsia="zh-CN"/>
        </w:rPr>
        <w:t>产品</w:t>
      </w:r>
      <w:r>
        <w:rPr>
          <w:rFonts w:hint="eastAsia"/>
          <w:sz w:val="24"/>
          <w:szCs w:val="24"/>
        </w:rPr>
        <w:t>业务申请的交易方式。</w:t>
      </w:r>
    </w:p>
    <w:p w14:paraId="6483BD2C">
      <w:pPr>
        <w:spacing w:line="360" w:lineRule="auto"/>
        <w:ind w:firstLine="480" w:firstLineChars="200"/>
        <w:rPr>
          <w:sz w:val="24"/>
          <w:szCs w:val="24"/>
        </w:rPr>
      </w:pPr>
      <w:r>
        <w:rPr>
          <w:rFonts w:hint="eastAsia"/>
          <w:sz w:val="24"/>
          <w:szCs w:val="24"/>
        </w:rPr>
        <w:t>2. 甲方接收乙方的传真交易申请包括：认购、申购、赎回、转托管、转换、撤销交易申请、变更分红方式、变更普通账户信息（其中：账户名、证件类型、证件编号、银行账户信息及机构法人代表姓名、授权经办人姓名、证件类型、证件号码除外）。</w:t>
      </w:r>
    </w:p>
    <w:p w14:paraId="53EA8C8A">
      <w:pPr>
        <w:spacing w:line="360" w:lineRule="auto"/>
        <w:ind w:firstLine="480" w:firstLineChars="200"/>
        <w:rPr>
          <w:sz w:val="24"/>
          <w:szCs w:val="24"/>
        </w:rPr>
      </w:pPr>
      <w:r>
        <w:rPr>
          <w:rFonts w:hint="eastAsia"/>
          <w:sz w:val="24"/>
          <w:szCs w:val="24"/>
        </w:rPr>
        <w:t>3. “</w:t>
      </w:r>
      <w:r>
        <w:rPr>
          <w:rFonts w:hint="eastAsia"/>
          <w:sz w:val="24"/>
          <w:szCs w:val="24"/>
          <w:lang w:val="en-US" w:eastAsia="zh-CN"/>
        </w:rPr>
        <w:t>山证（上海）资产管理有限公司</w:t>
      </w:r>
      <w:r>
        <w:rPr>
          <w:rFonts w:hint="eastAsia"/>
          <w:sz w:val="24"/>
          <w:szCs w:val="24"/>
        </w:rPr>
        <w:t>账户/交易业务申请表”的传真件作为交易申请凭证。甲方收到乙方本人或其指定的经办人签章及盖有预留印鉴的传真申请则有权认为该传真件为乙方真实意思的表示。</w:t>
      </w:r>
    </w:p>
    <w:p w14:paraId="4A17A4FD">
      <w:pPr>
        <w:spacing w:line="360" w:lineRule="auto"/>
        <w:rPr>
          <w:b/>
          <w:sz w:val="24"/>
          <w:szCs w:val="24"/>
        </w:rPr>
      </w:pPr>
      <w:r>
        <w:rPr>
          <w:rFonts w:hint="eastAsia"/>
          <w:b/>
          <w:sz w:val="24"/>
          <w:szCs w:val="24"/>
        </w:rPr>
        <w:t>二、传真交易的条件</w:t>
      </w:r>
    </w:p>
    <w:p w14:paraId="2EE4CF6F">
      <w:pPr>
        <w:spacing w:line="360" w:lineRule="auto"/>
        <w:ind w:firstLine="480" w:firstLineChars="200"/>
        <w:rPr>
          <w:sz w:val="24"/>
          <w:szCs w:val="24"/>
        </w:rPr>
      </w:pPr>
      <w:r>
        <w:rPr>
          <w:rFonts w:hint="eastAsia"/>
          <w:sz w:val="24"/>
          <w:szCs w:val="24"/>
        </w:rPr>
        <w:t>1. 乙方必须是根据国家法律、法规、甲方管理的</w:t>
      </w:r>
      <w:r>
        <w:rPr>
          <w:rFonts w:hint="eastAsia"/>
          <w:sz w:val="24"/>
          <w:szCs w:val="24"/>
          <w:lang w:val="en-US" w:eastAsia="zh-CN"/>
        </w:rPr>
        <w:t>产品</w:t>
      </w:r>
      <w:r>
        <w:rPr>
          <w:rFonts w:hint="eastAsia"/>
          <w:sz w:val="24"/>
          <w:szCs w:val="24"/>
        </w:rPr>
        <w:t>合同及其他有关规定，投资于甲方管理的</w:t>
      </w:r>
      <w:r>
        <w:rPr>
          <w:rFonts w:hint="eastAsia"/>
          <w:sz w:val="24"/>
          <w:szCs w:val="24"/>
          <w:lang w:val="en-US" w:eastAsia="zh-CN"/>
        </w:rPr>
        <w:t>产品</w:t>
      </w:r>
      <w:r>
        <w:rPr>
          <w:rFonts w:hint="eastAsia"/>
          <w:sz w:val="24"/>
          <w:szCs w:val="24"/>
        </w:rPr>
        <w:t>的投资者。</w:t>
      </w:r>
    </w:p>
    <w:p w14:paraId="75CDBDB1">
      <w:pPr>
        <w:spacing w:line="360" w:lineRule="auto"/>
        <w:ind w:firstLine="480" w:firstLineChars="200"/>
        <w:rPr>
          <w:sz w:val="24"/>
          <w:szCs w:val="24"/>
        </w:rPr>
      </w:pPr>
      <w:r>
        <w:rPr>
          <w:rFonts w:hint="eastAsia"/>
          <w:sz w:val="24"/>
          <w:szCs w:val="24"/>
        </w:rPr>
        <w:t>2. 乙方已经与甲方签署了《传真交易协议书》。</w:t>
      </w:r>
    </w:p>
    <w:p w14:paraId="5558577A">
      <w:pPr>
        <w:spacing w:line="360" w:lineRule="auto"/>
        <w:ind w:firstLine="480" w:firstLineChars="200"/>
        <w:rPr>
          <w:sz w:val="24"/>
          <w:szCs w:val="24"/>
        </w:rPr>
      </w:pPr>
      <w:r>
        <w:rPr>
          <w:rFonts w:hint="eastAsia"/>
          <w:sz w:val="24"/>
          <w:szCs w:val="24"/>
        </w:rPr>
        <w:t>3. 乙方已经在甲方的销售机构开立交易账户，该交易账户在本协议履行过程中处于正常交易状态。</w:t>
      </w:r>
    </w:p>
    <w:p w14:paraId="7268B7E2">
      <w:pPr>
        <w:spacing w:line="360" w:lineRule="auto"/>
        <w:ind w:firstLine="480" w:firstLineChars="200"/>
        <w:rPr>
          <w:sz w:val="24"/>
          <w:szCs w:val="24"/>
        </w:rPr>
      </w:pPr>
      <w:r>
        <w:rPr>
          <w:rFonts w:hint="eastAsia"/>
          <w:sz w:val="24"/>
          <w:szCs w:val="24"/>
        </w:rPr>
        <w:t>4. 乙方办理申请认购或申购业务的，在甲方所规定的申请所涉交易有效期限届满前将认购或申购资金足额划（汇）入甲方指定银行账户；乙方办理赎回、转换业务的，在申请所涉交易有效时限内其交易账户中有足够的份额，否则视为无效申请。</w:t>
      </w:r>
    </w:p>
    <w:p w14:paraId="2AAD3DD8">
      <w:pPr>
        <w:spacing w:line="360" w:lineRule="auto"/>
        <w:ind w:firstLine="480" w:firstLineChars="200"/>
        <w:rPr>
          <w:sz w:val="24"/>
          <w:szCs w:val="24"/>
        </w:rPr>
      </w:pPr>
      <w:r>
        <w:rPr>
          <w:rFonts w:hint="eastAsia"/>
          <w:sz w:val="24"/>
          <w:szCs w:val="24"/>
        </w:rPr>
        <w:t>5. 乙方已经在甲方办理了预留印鉴手续。</w:t>
      </w:r>
    </w:p>
    <w:p w14:paraId="78359C08">
      <w:pPr>
        <w:spacing w:line="360" w:lineRule="auto"/>
        <w:ind w:firstLine="480" w:firstLineChars="200"/>
        <w:rPr>
          <w:sz w:val="24"/>
          <w:szCs w:val="24"/>
        </w:rPr>
      </w:pPr>
      <w:r>
        <w:rPr>
          <w:rFonts w:hint="eastAsia"/>
          <w:sz w:val="24"/>
          <w:szCs w:val="24"/>
        </w:rPr>
        <w:t>6. 乙方已经按照甲方要求提供有关资料，真实、准确和完整地填写了有关申请表，签署有关文件。</w:t>
      </w:r>
    </w:p>
    <w:p w14:paraId="23DFFDDD">
      <w:pPr>
        <w:spacing w:line="360" w:lineRule="auto"/>
        <w:rPr>
          <w:b/>
          <w:sz w:val="24"/>
          <w:szCs w:val="24"/>
        </w:rPr>
      </w:pPr>
      <w:r>
        <w:rPr>
          <w:rFonts w:hint="eastAsia"/>
          <w:b/>
          <w:sz w:val="24"/>
          <w:szCs w:val="24"/>
        </w:rPr>
        <w:t>三、传真交易的流程</w:t>
      </w:r>
    </w:p>
    <w:p w14:paraId="294E6ED8">
      <w:pPr>
        <w:spacing w:line="360" w:lineRule="auto"/>
        <w:ind w:firstLine="480" w:firstLineChars="200"/>
        <w:rPr>
          <w:sz w:val="24"/>
          <w:szCs w:val="24"/>
        </w:rPr>
      </w:pPr>
      <w:r>
        <w:rPr>
          <w:rFonts w:hint="eastAsia"/>
          <w:sz w:val="24"/>
          <w:szCs w:val="24"/>
        </w:rPr>
        <w:t>1. 甲方指定专门的传真电话受理乙方的传真交易申请。除通过甲方指定的专门传真电话提交传真交易申请，乙方通过甲方的其他传真电话所提交的传真申请视为无效。乙方应指定专人（授权经办人）办理传真交易申请，除该授权经办人通过指定传真电话发出的传真交易申请外，其他传真申请亦视为无效。</w:t>
      </w:r>
    </w:p>
    <w:p w14:paraId="09EAA5ED">
      <w:pPr>
        <w:spacing w:line="360" w:lineRule="auto"/>
        <w:ind w:firstLine="480" w:firstLineChars="200"/>
        <w:rPr>
          <w:sz w:val="24"/>
          <w:szCs w:val="24"/>
        </w:rPr>
      </w:pPr>
      <w:r>
        <w:rPr>
          <w:rFonts w:hint="eastAsia"/>
          <w:sz w:val="24"/>
          <w:szCs w:val="24"/>
        </w:rPr>
        <w:t>2. 乙方应在</w:t>
      </w:r>
      <w:r>
        <w:rPr>
          <w:rFonts w:hint="eastAsia"/>
          <w:sz w:val="24"/>
          <w:szCs w:val="24"/>
          <w:lang w:val="en-US" w:eastAsia="zh-CN"/>
        </w:rPr>
        <w:t>产品</w:t>
      </w:r>
      <w:r>
        <w:rPr>
          <w:rFonts w:hint="eastAsia"/>
          <w:sz w:val="24"/>
          <w:szCs w:val="24"/>
        </w:rPr>
        <w:t>开放日9:30—15:00，将申请资料传真至甲方。乙方在当日受理截止时间以后提交的委托申请，甲方将按下一个交易日的申请处理。乙方委托申请的时间以甲方系统自动记载时间为准。</w:t>
      </w:r>
    </w:p>
    <w:p w14:paraId="68A369BD">
      <w:pPr>
        <w:spacing w:line="360" w:lineRule="auto"/>
        <w:ind w:firstLine="480" w:firstLineChars="200"/>
        <w:rPr>
          <w:sz w:val="24"/>
          <w:szCs w:val="24"/>
        </w:rPr>
      </w:pPr>
      <w:r>
        <w:rPr>
          <w:rFonts w:hint="eastAsia"/>
          <w:sz w:val="24"/>
          <w:szCs w:val="24"/>
        </w:rPr>
        <w:t>3. 乙方办理认购、申购业务时，应将认购、申购资金足额划（汇）入甲方指定银行账户的划款凭证随业务申请表一同传真给甲方，甲方在验证认购、申购资金足额到账后，根据乙方业务申请表内容，为乙方办理认购、申购业务，如果经甲方验证乙方认购、申购资金未足额、未及时到账，则甲方有权拒绝乙方该笔传真交易申请，由此造成的一切后果由乙方承担。</w:t>
      </w:r>
    </w:p>
    <w:p w14:paraId="1FFAE9B1">
      <w:pPr>
        <w:spacing w:line="360" w:lineRule="auto"/>
        <w:ind w:firstLine="480" w:firstLineChars="200"/>
        <w:rPr>
          <w:sz w:val="24"/>
          <w:szCs w:val="24"/>
        </w:rPr>
      </w:pPr>
      <w:r>
        <w:rPr>
          <w:rFonts w:hint="eastAsia"/>
          <w:sz w:val="24"/>
          <w:szCs w:val="24"/>
        </w:rPr>
        <w:t>4. 甲方收到乙方赎回、转托管、转换申请，应在验证交易账户有足够份额时方受理申请，如乙方申请的赎回份额、转托管份额或转换转出份额大于乙方交易账户内保留的份额，甲方有权以乙方在其交易账户内保留的全部份额为限为乙方办理赎回、转托管和转换转出业务。</w:t>
      </w:r>
    </w:p>
    <w:p w14:paraId="6618A7A5">
      <w:pPr>
        <w:spacing w:line="360" w:lineRule="auto"/>
        <w:ind w:firstLine="480" w:firstLineChars="200"/>
        <w:rPr>
          <w:sz w:val="24"/>
          <w:szCs w:val="24"/>
        </w:rPr>
      </w:pPr>
      <w:r>
        <w:rPr>
          <w:rFonts w:hint="eastAsia"/>
          <w:sz w:val="24"/>
          <w:szCs w:val="24"/>
        </w:rPr>
        <w:t>5. 甲方根据乙方传真载明的印鉴作为判认其传真交易当事人身份的依据。凡传真载明印鉴与乙方在甲方处预留印鉴表面相符所进行的一切交易，均视为乙方亲自办理的有效交易，由此产生的一切后果均由乙方承担。</w:t>
      </w:r>
    </w:p>
    <w:p w14:paraId="1BAFB542">
      <w:pPr>
        <w:spacing w:line="360" w:lineRule="auto"/>
        <w:ind w:firstLine="480" w:firstLineChars="200"/>
        <w:rPr>
          <w:sz w:val="24"/>
          <w:szCs w:val="24"/>
        </w:rPr>
      </w:pPr>
      <w:r>
        <w:rPr>
          <w:rFonts w:hint="eastAsia"/>
          <w:sz w:val="24"/>
          <w:szCs w:val="24"/>
        </w:rPr>
        <w:t>6. 如乙方提交的传真申请不完整、不清晰或无法辨识，甲方可延迟或拒绝受理乙方的传真申请并对此不承担任何责任。</w:t>
      </w:r>
    </w:p>
    <w:p w14:paraId="01E40C56">
      <w:pPr>
        <w:spacing w:line="360" w:lineRule="auto"/>
        <w:ind w:firstLine="480" w:firstLineChars="200"/>
        <w:rPr>
          <w:sz w:val="24"/>
          <w:szCs w:val="24"/>
        </w:rPr>
      </w:pPr>
      <w:r>
        <w:rPr>
          <w:rFonts w:hint="eastAsia"/>
          <w:sz w:val="24"/>
          <w:szCs w:val="24"/>
        </w:rPr>
        <w:t>7. 乙方应在通过传真递交申请后10分钟内打电话向甲方受理业务的直销中心确认传真申请事宜，电话确认内容应包括申请的类型、</w:t>
      </w:r>
      <w:r>
        <w:rPr>
          <w:rFonts w:hint="eastAsia"/>
          <w:sz w:val="24"/>
          <w:szCs w:val="24"/>
          <w:lang w:val="en-US" w:eastAsia="zh-CN"/>
        </w:rPr>
        <w:t>产品</w:t>
      </w:r>
      <w:r>
        <w:rPr>
          <w:rFonts w:hint="eastAsia"/>
          <w:sz w:val="24"/>
          <w:szCs w:val="24"/>
        </w:rPr>
        <w:t>名称、交易申请金额或份额、银行划款金额及日期（认/申购交易申请时）等要素。乙方未能在上述时间内与甲方受理业务的直销中心电话确认传真申请事宜、或确认的内容与传真的资料有任何不一致或不完整的，甲方有权拒绝受理该笔传真交易申请或要求乙方重新通过传真递交申请，由此所造成的一切后果均由乙方承担。</w:t>
      </w:r>
    </w:p>
    <w:p w14:paraId="65C8EED0">
      <w:pPr>
        <w:spacing w:line="360" w:lineRule="auto"/>
        <w:ind w:firstLine="480" w:firstLineChars="200"/>
        <w:rPr>
          <w:sz w:val="24"/>
          <w:szCs w:val="24"/>
        </w:rPr>
      </w:pPr>
      <w:r>
        <w:rPr>
          <w:rFonts w:hint="eastAsia"/>
          <w:sz w:val="24"/>
          <w:szCs w:val="24"/>
        </w:rPr>
        <w:t>8. 乙方应向甲方书面指定其联系电话，如乙方为机构投资人还应指定经办人。甲方可能为确认传真交易资料的真实性、准确性与乙方或其指定的经办人电话联系。如甲方无法在传真交易申请当日四点前通过乙方指定联系电话确认传真交易资料的真实性或准确性，甲方有权拒绝受理该笔传真交易申请。但上述电话确认并不构成甲方必然履行之义务，也不应削弱乙方根据本协议对其提交传真交易资料法律效力的保证义务。</w:t>
      </w:r>
    </w:p>
    <w:p w14:paraId="161919D4">
      <w:pPr>
        <w:spacing w:line="360" w:lineRule="auto"/>
        <w:ind w:firstLine="480" w:firstLineChars="200"/>
        <w:rPr>
          <w:sz w:val="24"/>
          <w:szCs w:val="24"/>
        </w:rPr>
      </w:pPr>
      <w:r>
        <w:rPr>
          <w:rFonts w:hint="eastAsia"/>
          <w:sz w:val="24"/>
          <w:szCs w:val="24"/>
        </w:rPr>
        <w:t>9. 甲方可能对电话确认传真申请事宜进行录音，录音内容作为日后核查的依据。乙方特此同意甲方对电话语音的录制、认可该电话录音记录是双方交易真实有效的证据，在任何司法程序中不对该电话录音记录提出任何形式的质疑。</w:t>
      </w:r>
    </w:p>
    <w:p w14:paraId="75DE7940">
      <w:pPr>
        <w:spacing w:line="360" w:lineRule="auto"/>
        <w:ind w:firstLine="480" w:firstLineChars="200"/>
        <w:rPr>
          <w:sz w:val="24"/>
          <w:szCs w:val="24"/>
        </w:rPr>
      </w:pPr>
      <w:r>
        <w:rPr>
          <w:rFonts w:hint="eastAsia"/>
          <w:sz w:val="24"/>
          <w:szCs w:val="24"/>
        </w:rPr>
        <w:t>10. 乙方在传真交易申请发出后当日17:00前（以邮戳时间为准），将申请书原件和需甲方留存的相关材料复印件以邮政特快专递（EMS）的方式寄出。如甲方在乙方发出传真后的一个星期内未能接到该等文件（文件的到达时间以到达地邮戳为准），则甲方有权以乙方的传真件为准执行该传真交易申请，由此造成的一切后果均由乙方承担。</w:t>
      </w:r>
    </w:p>
    <w:p w14:paraId="2983FC09">
      <w:pPr>
        <w:spacing w:line="360" w:lineRule="auto"/>
        <w:rPr>
          <w:b/>
          <w:sz w:val="24"/>
          <w:szCs w:val="24"/>
        </w:rPr>
      </w:pPr>
      <w:r>
        <w:rPr>
          <w:rFonts w:hint="eastAsia"/>
          <w:b/>
          <w:sz w:val="24"/>
          <w:szCs w:val="24"/>
        </w:rPr>
        <w:t>四、 免责条款</w:t>
      </w:r>
    </w:p>
    <w:p w14:paraId="0F3825B1">
      <w:pPr>
        <w:spacing w:line="360" w:lineRule="auto"/>
        <w:ind w:firstLine="480" w:firstLineChars="200"/>
        <w:rPr>
          <w:sz w:val="24"/>
          <w:szCs w:val="24"/>
        </w:rPr>
      </w:pPr>
      <w:r>
        <w:rPr>
          <w:rFonts w:hint="eastAsia"/>
          <w:sz w:val="24"/>
          <w:szCs w:val="24"/>
        </w:rPr>
        <w:t>因下列事由之一发生给乙方造成损失的，甲方不承担责任：</w:t>
      </w:r>
    </w:p>
    <w:p w14:paraId="5E0C8746">
      <w:pPr>
        <w:spacing w:line="360" w:lineRule="auto"/>
        <w:ind w:firstLine="480" w:firstLineChars="200"/>
        <w:rPr>
          <w:sz w:val="24"/>
          <w:szCs w:val="24"/>
        </w:rPr>
      </w:pPr>
      <w:r>
        <w:rPr>
          <w:rFonts w:hint="eastAsia"/>
          <w:sz w:val="24"/>
          <w:szCs w:val="24"/>
        </w:rPr>
        <w:t>1. 由于不可抗力（包括但不限于因地震、火灾、台风等引起的停电、电脑网络和/或传真设备故障导致收发信息延误或失败等）给乙方造成的损失，甲方不承担任何责任。</w:t>
      </w:r>
    </w:p>
    <w:p w14:paraId="02282AD7">
      <w:pPr>
        <w:spacing w:line="360" w:lineRule="auto"/>
        <w:ind w:firstLine="480" w:firstLineChars="200"/>
        <w:rPr>
          <w:sz w:val="24"/>
          <w:szCs w:val="24"/>
        </w:rPr>
      </w:pPr>
      <w:r>
        <w:rPr>
          <w:rFonts w:hint="eastAsia"/>
          <w:sz w:val="24"/>
          <w:szCs w:val="24"/>
        </w:rPr>
        <w:t>2. 甲方收到具有乙方本人或指定的经办人签章及盖有预留印鉴的传真申请，即认为此申请是乙方真实意思的表示。甲方不对该签章及印鉴是否真实及是否为乙方真实意思表示承担法律责任。</w:t>
      </w:r>
    </w:p>
    <w:p w14:paraId="16D41CAE">
      <w:pPr>
        <w:spacing w:line="360" w:lineRule="auto"/>
        <w:ind w:firstLine="480" w:firstLineChars="200"/>
        <w:rPr>
          <w:sz w:val="24"/>
          <w:szCs w:val="24"/>
        </w:rPr>
      </w:pPr>
      <w:r>
        <w:rPr>
          <w:rFonts w:hint="eastAsia"/>
          <w:sz w:val="24"/>
          <w:szCs w:val="24"/>
        </w:rPr>
        <w:t>3. 如由于甲方未收到、未全部收到、或者接收到的乙方传真资料不准确、不完整、不清晰、无法识别或乙方提交的传真交易资料违反法律、法规、规章、政策、不符合甲方有关</w:t>
      </w:r>
      <w:r>
        <w:rPr>
          <w:rFonts w:hint="eastAsia"/>
          <w:sz w:val="24"/>
          <w:szCs w:val="24"/>
          <w:lang w:val="en-US" w:eastAsia="zh-CN"/>
        </w:rPr>
        <w:t>产品</w:t>
      </w:r>
      <w:r>
        <w:rPr>
          <w:rFonts w:hint="eastAsia"/>
          <w:sz w:val="24"/>
          <w:szCs w:val="24"/>
        </w:rPr>
        <w:t>合同等原因，致使甲方无法执行该传真交易申请的，甲方可不予受理，并对此不承担法律责任。</w:t>
      </w:r>
    </w:p>
    <w:p w14:paraId="1B4D71DC">
      <w:pPr>
        <w:spacing w:line="360" w:lineRule="auto"/>
        <w:ind w:firstLine="480" w:firstLineChars="200"/>
        <w:rPr>
          <w:sz w:val="24"/>
          <w:szCs w:val="24"/>
        </w:rPr>
      </w:pPr>
      <w:r>
        <w:rPr>
          <w:rFonts w:hint="eastAsia"/>
          <w:sz w:val="24"/>
          <w:szCs w:val="24"/>
        </w:rPr>
        <w:t>4. 因电信部门的通讯线路故障、通讯技术缺陷、电脑黑客或计算机病毒等问题造成交易系统不能正常运转。</w:t>
      </w:r>
    </w:p>
    <w:p w14:paraId="7F577F72">
      <w:pPr>
        <w:spacing w:line="360" w:lineRule="auto"/>
        <w:ind w:firstLine="480" w:firstLineChars="200"/>
        <w:rPr>
          <w:sz w:val="24"/>
          <w:szCs w:val="24"/>
        </w:rPr>
      </w:pPr>
      <w:r>
        <w:rPr>
          <w:rFonts w:hint="eastAsia"/>
          <w:sz w:val="24"/>
          <w:szCs w:val="24"/>
        </w:rPr>
        <w:t>5. 由于在通讯、网络中断、堵塞等情况下致使通过传真手段无法下达申请或无法进行传真确认时。</w:t>
      </w:r>
    </w:p>
    <w:p w14:paraId="15A5E6E1">
      <w:pPr>
        <w:spacing w:line="360" w:lineRule="auto"/>
        <w:ind w:firstLine="480" w:firstLineChars="200"/>
        <w:rPr>
          <w:sz w:val="24"/>
          <w:szCs w:val="24"/>
        </w:rPr>
      </w:pPr>
      <w:r>
        <w:rPr>
          <w:rFonts w:hint="eastAsia"/>
          <w:sz w:val="24"/>
          <w:szCs w:val="24"/>
        </w:rPr>
        <w:t>6. 法律和政策重大变化或甲方不可预测和不可控制因素导致的突发事件。</w:t>
      </w:r>
    </w:p>
    <w:p w14:paraId="190D793C">
      <w:pPr>
        <w:spacing w:line="360" w:lineRule="auto"/>
        <w:ind w:firstLine="480" w:firstLineChars="200"/>
        <w:rPr>
          <w:sz w:val="24"/>
          <w:szCs w:val="24"/>
        </w:rPr>
      </w:pPr>
      <w:r>
        <w:rPr>
          <w:rFonts w:hint="eastAsia"/>
          <w:sz w:val="24"/>
          <w:szCs w:val="24"/>
        </w:rPr>
        <w:t>7. 其他非因甲方的过错行为给乙方造成的损失。</w:t>
      </w:r>
    </w:p>
    <w:p w14:paraId="6A9FDCFE">
      <w:pPr>
        <w:spacing w:line="360" w:lineRule="auto"/>
        <w:ind w:firstLine="480" w:firstLineChars="200"/>
        <w:rPr>
          <w:sz w:val="24"/>
          <w:szCs w:val="24"/>
        </w:rPr>
      </w:pPr>
      <w:r>
        <w:rPr>
          <w:rFonts w:hint="eastAsia"/>
          <w:sz w:val="24"/>
          <w:szCs w:val="24"/>
        </w:rPr>
        <w:t>8. 法律规定和本协议约定的其它甲方免责事项。</w:t>
      </w:r>
    </w:p>
    <w:p w14:paraId="28C271A5">
      <w:pPr>
        <w:spacing w:line="360" w:lineRule="auto"/>
        <w:rPr>
          <w:b/>
          <w:sz w:val="24"/>
          <w:szCs w:val="24"/>
        </w:rPr>
      </w:pPr>
      <w:r>
        <w:rPr>
          <w:rFonts w:hint="eastAsia"/>
          <w:b/>
          <w:sz w:val="24"/>
          <w:szCs w:val="24"/>
        </w:rPr>
        <w:t>五、本协议的修改、终止和解除</w:t>
      </w:r>
    </w:p>
    <w:p w14:paraId="49C0410B">
      <w:pPr>
        <w:spacing w:line="360" w:lineRule="auto"/>
        <w:ind w:firstLine="480" w:firstLineChars="200"/>
        <w:rPr>
          <w:sz w:val="24"/>
          <w:szCs w:val="24"/>
        </w:rPr>
      </w:pPr>
      <w:r>
        <w:rPr>
          <w:rFonts w:hint="eastAsia"/>
          <w:sz w:val="24"/>
          <w:szCs w:val="24"/>
        </w:rPr>
        <w:t>1. 甲方保留修改或增补本协议内容的权利。修改条款通知以书面形式公告于甲方的营业场所。乙方如果对于甲方的修改持有异议，应当在甲方书面公告之日起十个工作日内向甲方书面提出异议。双方在乙方发出该等书面异议之日起十个工作日（“截止日”）内未能就该等异议进行磋商或未能达成共识，本协议自截止日终止。乙方未在本款所述期限内向甲方提出书面异议的，视为乙方同意甲方的修改，本协议按照修改后的条款执行。</w:t>
      </w:r>
    </w:p>
    <w:p w14:paraId="492A152B">
      <w:pPr>
        <w:spacing w:line="360" w:lineRule="auto"/>
        <w:ind w:firstLine="480" w:firstLineChars="200"/>
        <w:rPr>
          <w:sz w:val="24"/>
          <w:szCs w:val="24"/>
        </w:rPr>
      </w:pPr>
      <w:r>
        <w:rPr>
          <w:rFonts w:hint="eastAsia"/>
          <w:sz w:val="24"/>
          <w:szCs w:val="24"/>
        </w:rPr>
        <w:t>2. 本协议书签署后，若有关法律法规和</w:t>
      </w:r>
      <w:r>
        <w:rPr>
          <w:rFonts w:hint="eastAsia"/>
          <w:sz w:val="24"/>
          <w:szCs w:val="24"/>
          <w:lang w:val="en-US" w:eastAsia="zh-CN"/>
        </w:rPr>
        <w:t>产品</w:t>
      </w:r>
      <w:r>
        <w:rPr>
          <w:rFonts w:hint="eastAsia"/>
          <w:sz w:val="24"/>
          <w:szCs w:val="24"/>
        </w:rPr>
        <w:t>合同、《招募说明书》、和其他甲乙双方应共同遵守的文件发生修订，本协议与之不相适应的内容及条款自行失效，但不影响本协议其他内容和条款的效力。</w:t>
      </w:r>
    </w:p>
    <w:p w14:paraId="02ADA5CF">
      <w:pPr>
        <w:spacing w:line="360" w:lineRule="auto"/>
        <w:ind w:firstLine="480" w:firstLineChars="200"/>
        <w:rPr>
          <w:sz w:val="24"/>
          <w:szCs w:val="24"/>
        </w:rPr>
      </w:pPr>
      <w:r>
        <w:rPr>
          <w:rFonts w:hint="eastAsia"/>
          <w:sz w:val="24"/>
          <w:szCs w:val="24"/>
        </w:rPr>
        <w:t>3. 本协议自甲、乙双方签字之日起生效，在下述情况之一发生时终止：</w:t>
      </w:r>
    </w:p>
    <w:p w14:paraId="0BF65423">
      <w:pPr>
        <w:spacing w:line="360" w:lineRule="auto"/>
        <w:ind w:firstLine="480" w:firstLineChars="200"/>
        <w:rPr>
          <w:sz w:val="24"/>
          <w:szCs w:val="24"/>
        </w:rPr>
      </w:pPr>
      <w:r>
        <w:rPr>
          <w:rFonts w:hint="eastAsia"/>
          <w:sz w:val="24"/>
          <w:szCs w:val="24"/>
        </w:rPr>
        <w:t>（1） 有关</w:t>
      </w:r>
      <w:r>
        <w:rPr>
          <w:rFonts w:hint="eastAsia"/>
          <w:sz w:val="24"/>
          <w:szCs w:val="24"/>
          <w:lang w:val="en-US" w:eastAsia="zh-CN"/>
        </w:rPr>
        <w:t>产品</w:t>
      </w:r>
      <w:r>
        <w:rPr>
          <w:rFonts w:hint="eastAsia"/>
          <w:sz w:val="24"/>
          <w:szCs w:val="24"/>
        </w:rPr>
        <w:t>的</w:t>
      </w:r>
      <w:r>
        <w:rPr>
          <w:rFonts w:hint="eastAsia"/>
          <w:sz w:val="24"/>
          <w:szCs w:val="24"/>
          <w:lang w:val="en-US" w:eastAsia="zh-CN"/>
        </w:rPr>
        <w:t>产品</w:t>
      </w:r>
      <w:r>
        <w:rPr>
          <w:rFonts w:hint="eastAsia"/>
          <w:sz w:val="24"/>
          <w:szCs w:val="24"/>
        </w:rPr>
        <w:t>合同终止；</w:t>
      </w:r>
    </w:p>
    <w:p w14:paraId="36A4B203">
      <w:pPr>
        <w:spacing w:line="360" w:lineRule="auto"/>
        <w:ind w:firstLine="480" w:firstLineChars="200"/>
        <w:rPr>
          <w:sz w:val="24"/>
          <w:szCs w:val="24"/>
        </w:rPr>
      </w:pPr>
      <w:r>
        <w:rPr>
          <w:rFonts w:hint="eastAsia"/>
          <w:sz w:val="24"/>
          <w:szCs w:val="24"/>
        </w:rPr>
        <w:t>（2） 双方书面同意终止。</w:t>
      </w:r>
    </w:p>
    <w:p w14:paraId="66B75147">
      <w:pPr>
        <w:spacing w:line="360" w:lineRule="auto"/>
        <w:ind w:firstLine="480" w:firstLineChars="200"/>
        <w:rPr>
          <w:sz w:val="24"/>
          <w:szCs w:val="24"/>
        </w:rPr>
      </w:pPr>
      <w:r>
        <w:rPr>
          <w:rFonts w:hint="eastAsia"/>
          <w:sz w:val="24"/>
          <w:szCs w:val="24"/>
        </w:rPr>
        <w:t>（3） 乙方注销基金账户。</w:t>
      </w:r>
    </w:p>
    <w:p w14:paraId="14F9A9E7">
      <w:pPr>
        <w:spacing w:line="360" w:lineRule="auto"/>
        <w:ind w:firstLine="480" w:firstLineChars="200"/>
        <w:rPr>
          <w:sz w:val="24"/>
          <w:szCs w:val="24"/>
        </w:rPr>
      </w:pPr>
      <w:r>
        <w:rPr>
          <w:rFonts w:hint="eastAsia"/>
          <w:sz w:val="24"/>
          <w:szCs w:val="24"/>
        </w:rPr>
        <w:t>（4） 乙方不再具有相应的民事行为能力。</w:t>
      </w:r>
    </w:p>
    <w:p w14:paraId="34737AAF">
      <w:pPr>
        <w:spacing w:line="360" w:lineRule="auto"/>
        <w:ind w:firstLine="480" w:firstLineChars="200"/>
        <w:rPr>
          <w:sz w:val="24"/>
          <w:szCs w:val="24"/>
        </w:rPr>
      </w:pPr>
      <w:r>
        <w:rPr>
          <w:rFonts w:hint="eastAsia"/>
          <w:sz w:val="24"/>
          <w:szCs w:val="24"/>
        </w:rPr>
        <w:t>（5） 甲方作为有关</w:t>
      </w:r>
      <w:r>
        <w:rPr>
          <w:rFonts w:hint="eastAsia"/>
          <w:sz w:val="24"/>
          <w:szCs w:val="24"/>
          <w:lang w:val="en-US" w:eastAsia="zh-CN"/>
        </w:rPr>
        <w:t>产品</w:t>
      </w:r>
      <w:r>
        <w:rPr>
          <w:rFonts w:hint="eastAsia"/>
          <w:sz w:val="24"/>
          <w:szCs w:val="24"/>
        </w:rPr>
        <w:t>的</w:t>
      </w:r>
      <w:r>
        <w:rPr>
          <w:rFonts w:hint="eastAsia"/>
          <w:sz w:val="24"/>
          <w:szCs w:val="24"/>
          <w:lang w:val="en-US" w:eastAsia="zh-CN"/>
        </w:rPr>
        <w:t>产品</w:t>
      </w:r>
      <w:r>
        <w:rPr>
          <w:rFonts w:hint="eastAsia"/>
          <w:sz w:val="24"/>
          <w:szCs w:val="24"/>
        </w:rPr>
        <w:t>管理人退任。</w:t>
      </w:r>
    </w:p>
    <w:p w14:paraId="18D85DFB">
      <w:pPr>
        <w:spacing w:line="360" w:lineRule="auto"/>
        <w:ind w:firstLine="480" w:firstLineChars="200"/>
        <w:rPr>
          <w:sz w:val="24"/>
          <w:szCs w:val="24"/>
        </w:rPr>
      </w:pPr>
      <w:r>
        <w:rPr>
          <w:rFonts w:hint="eastAsia"/>
          <w:sz w:val="24"/>
          <w:szCs w:val="24"/>
        </w:rPr>
        <w:t>（6） 因不可抗力使本协议无法继续履行。</w:t>
      </w:r>
    </w:p>
    <w:p w14:paraId="729E5370">
      <w:pPr>
        <w:spacing w:line="360" w:lineRule="auto"/>
        <w:ind w:firstLine="480" w:firstLineChars="200"/>
        <w:rPr>
          <w:sz w:val="24"/>
          <w:szCs w:val="24"/>
        </w:rPr>
      </w:pPr>
      <w:r>
        <w:rPr>
          <w:rFonts w:hint="eastAsia"/>
          <w:sz w:val="24"/>
          <w:szCs w:val="24"/>
        </w:rPr>
        <w:t>（7） 因一方违约，另一方书面通知对方终止本协议。</w:t>
      </w:r>
    </w:p>
    <w:p w14:paraId="2C102252">
      <w:pPr>
        <w:spacing w:line="360" w:lineRule="auto"/>
        <w:rPr>
          <w:b/>
          <w:sz w:val="24"/>
          <w:szCs w:val="24"/>
        </w:rPr>
      </w:pPr>
      <w:r>
        <w:rPr>
          <w:rFonts w:hint="eastAsia"/>
          <w:b/>
          <w:sz w:val="24"/>
          <w:szCs w:val="24"/>
        </w:rPr>
        <w:t>六、争议的解决</w:t>
      </w:r>
    </w:p>
    <w:p w14:paraId="639274AF">
      <w:pPr>
        <w:spacing w:line="360" w:lineRule="auto"/>
        <w:ind w:firstLine="480" w:firstLineChars="200"/>
        <w:rPr>
          <w:sz w:val="24"/>
          <w:szCs w:val="24"/>
        </w:rPr>
      </w:pPr>
      <w:r>
        <w:rPr>
          <w:rFonts w:hint="eastAsia"/>
          <w:sz w:val="24"/>
          <w:szCs w:val="24"/>
        </w:rPr>
        <w:t>本协议双方如有争议，应尽可能通过协商、调解解决，协商、调解不成，任何一方均有权向</w:t>
      </w:r>
      <w:r>
        <w:rPr>
          <w:rFonts w:hint="eastAsia"/>
          <w:sz w:val="24"/>
          <w:szCs w:val="24"/>
          <w:lang w:val="en-US" w:eastAsia="zh-CN"/>
        </w:rPr>
        <w:t>上海</w:t>
      </w:r>
      <w:r>
        <w:rPr>
          <w:rFonts w:hint="eastAsia"/>
          <w:sz w:val="24"/>
          <w:szCs w:val="24"/>
        </w:rPr>
        <w:t>仲裁委员会申请仲裁，仲裁按照该委员会届时有效的仲裁规则进行。仲裁裁决是终局的，对双方均有法律约束力。</w:t>
      </w:r>
    </w:p>
    <w:p w14:paraId="0FA4B1B7">
      <w:pPr>
        <w:spacing w:line="360" w:lineRule="auto"/>
        <w:rPr>
          <w:b/>
          <w:sz w:val="24"/>
          <w:szCs w:val="24"/>
        </w:rPr>
      </w:pPr>
      <w:r>
        <w:rPr>
          <w:rFonts w:hint="eastAsia"/>
          <w:b/>
          <w:sz w:val="24"/>
          <w:szCs w:val="24"/>
        </w:rPr>
        <w:t>七、本协议未尽事宜，双方协商解决。</w:t>
      </w:r>
    </w:p>
    <w:p w14:paraId="0C8F8301">
      <w:pPr>
        <w:spacing w:line="360" w:lineRule="auto"/>
        <w:rPr>
          <w:b/>
          <w:sz w:val="24"/>
          <w:szCs w:val="24"/>
        </w:rPr>
      </w:pPr>
      <w:r>
        <w:rPr>
          <w:rFonts w:hint="eastAsia"/>
          <w:b/>
          <w:sz w:val="24"/>
          <w:szCs w:val="24"/>
        </w:rPr>
        <w:t>八、本协议一式两份，甲、乙双方各执一份，具有同等的法律效力。</w:t>
      </w:r>
    </w:p>
    <w:p w14:paraId="555629BB">
      <w:pPr>
        <w:spacing w:line="360" w:lineRule="auto"/>
        <w:rPr>
          <w:b/>
          <w:sz w:val="24"/>
          <w:szCs w:val="24"/>
        </w:rPr>
      </w:pPr>
    </w:p>
    <w:p w14:paraId="099CCE9C">
      <w:pPr>
        <w:spacing w:line="360" w:lineRule="auto"/>
        <w:rPr>
          <w:rFonts w:hint="eastAsia" w:eastAsiaTheme="minorEastAsia"/>
          <w:sz w:val="24"/>
          <w:szCs w:val="24"/>
          <w:lang w:val="en-US" w:eastAsia="zh-CN"/>
        </w:rPr>
      </w:pPr>
      <w:r>
        <w:rPr>
          <w:rFonts w:hint="eastAsia"/>
          <w:sz w:val="24"/>
          <w:szCs w:val="24"/>
        </w:rPr>
        <w:t>甲方：山</w:t>
      </w:r>
      <w:r>
        <w:rPr>
          <w:rFonts w:hint="eastAsia"/>
          <w:sz w:val="24"/>
          <w:szCs w:val="24"/>
          <w:lang w:val="en-US" w:eastAsia="zh-CN"/>
        </w:rPr>
        <w:t>证（上海）资产管理</w:t>
      </w:r>
      <w:r>
        <w:rPr>
          <w:rFonts w:hint="eastAsia"/>
          <w:sz w:val="24"/>
          <w:szCs w:val="24"/>
        </w:rPr>
        <w:t>有限公司          乙方：____________________________</w:t>
      </w:r>
      <w:r>
        <w:rPr>
          <w:rFonts w:hint="eastAsia"/>
          <w:sz w:val="24"/>
          <w:szCs w:val="24"/>
          <w:lang w:val="en-US" w:eastAsia="zh-CN"/>
        </w:rPr>
        <w:t xml:space="preserve"> </w:t>
      </w:r>
    </w:p>
    <w:p w14:paraId="30E20203">
      <w:pPr>
        <w:spacing w:line="360" w:lineRule="auto"/>
        <w:rPr>
          <w:sz w:val="24"/>
          <w:szCs w:val="24"/>
        </w:rPr>
      </w:pPr>
    </w:p>
    <w:p w14:paraId="7000DEE9">
      <w:pPr>
        <w:spacing w:line="360" w:lineRule="auto"/>
        <w:rPr>
          <w:sz w:val="24"/>
          <w:szCs w:val="24"/>
        </w:rPr>
      </w:pPr>
      <w:r>
        <w:rPr>
          <w:rFonts w:hint="eastAsia"/>
          <w:sz w:val="24"/>
          <w:szCs w:val="24"/>
        </w:rPr>
        <w:t>签章：                                  签章：</w:t>
      </w:r>
    </w:p>
    <w:p w14:paraId="54C1AD86">
      <w:pPr>
        <w:spacing w:line="360" w:lineRule="auto"/>
        <w:rPr>
          <w:sz w:val="24"/>
          <w:szCs w:val="24"/>
        </w:rPr>
      </w:pPr>
    </w:p>
    <w:p w14:paraId="25219CBB">
      <w:pPr>
        <w:spacing w:line="360" w:lineRule="auto"/>
        <w:rPr>
          <w:sz w:val="24"/>
          <w:szCs w:val="24"/>
        </w:rPr>
      </w:pPr>
      <w:r>
        <w:rPr>
          <w:rFonts w:hint="eastAsia"/>
          <w:sz w:val="24"/>
          <w:szCs w:val="24"/>
        </w:rPr>
        <w:t>_________年_______月_______日            ________年_______月_______日</w:t>
      </w:r>
    </w:p>
    <w:sectPr>
      <w:headerReference r:id="rId3" w:type="default"/>
      <w:footerReference r:id="rId4" w:type="default"/>
      <w:pgSz w:w="11906" w:h="16838"/>
      <w:pgMar w:top="1134" w:right="1134" w:bottom="85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98884"/>
      <w:docPartObj>
        <w:docPartGallery w:val="autotext"/>
      </w:docPartObj>
    </w:sdtPr>
    <w:sdtContent>
      <w:sdt>
        <w:sdtPr>
          <w:id w:val="171357217"/>
          <w:docPartObj>
            <w:docPartGallery w:val="autotext"/>
          </w:docPartObj>
        </w:sdtPr>
        <w:sdtContent>
          <w:p w14:paraId="3B2B264B">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D4EED">
    <w:pPr>
      <w:pStyle w:val="4"/>
      <w:jc w:val="both"/>
    </w:pPr>
    <w:r>
      <w:rPr>
        <w:rFonts w:hint="eastAsia" w:eastAsia="宋体"/>
        <w:lang w:eastAsia="zh-CN"/>
      </w:rPr>
      <w:drawing>
        <wp:inline distT="0" distB="0" distL="114300" distR="114300">
          <wp:extent cx="1200785" cy="225425"/>
          <wp:effectExtent l="0" t="0" r="18415" b="3175"/>
          <wp:docPr id="2" name="图片 2" descr="资管logo简称（带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资管logo简称（带英文）"/>
                  <pic:cNvPicPr>
                    <a:picLocks noChangeAspect="1"/>
                  </pic:cNvPicPr>
                </pic:nvPicPr>
                <pic:blipFill>
                  <a:blip r:embed="rId1"/>
                  <a:stretch>
                    <a:fillRect/>
                  </a:stretch>
                </pic:blipFill>
                <pic:spPr>
                  <a:xfrm>
                    <a:off x="0" y="0"/>
                    <a:ext cx="1200785" cy="225425"/>
                  </a:xfrm>
                  <a:prstGeom prst="rect">
                    <a:avLst/>
                  </a:prstGeom>
                </pic:spPr>
              </pic:pic>
            </a:graphicData>
          </a:graphic>
        </wp:inline>
      </w:drawing>
    </w:r>
    <w:r>
      <w:t xml:space="preserve"> </w:t>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8DD"/>
    <w:rsid w:val="00005E70"/>
    <w:rsid w:val="000266E6"/>
    <w:rsid w:val="00026A48"/>
    <w:rsid w:val="000414C2"/>
    <w:rsid w:val="00042962"/>
    <w:rsid w:val="00061EA6"/>
    <w:rsid w:val="00095405"/>
    <w:rsid w:val="000C178D"/>
    <w:rsid w:val="000D3DB2"/>
    <w:rsid w:val="000E45F3"/>
    <w:rsid w:val="000F195A"/>
    <w:rsid w:val="001070A5"/>
    <w:rsid w:val="00111E84"/>
    <w:rsid w:val="0011232B"/>
    <w:rsid w:val="001304B1"/>
    <w:rsid w:val="00154FF8"/>
    <w:rsid w:val="00167F60"/>
    <w:rsid w:val="001827EB"/>
    <w:rsid w:val="001855D2"/>
    <w:rsid w:val="001A2D66"/>
    <w:rsid w:val="001A3453"/>
    <w:rsid w:val="001C0DD0"/>
    <w:rsid w:val="001D2BD9"/>
    <w:rsid w:val="001D2DCB"/>
    <w:rsid w:val="001E5904"/>
    <w:rsid w:val="001F5DF3"/>
    <w:rsid w:val="00227035"/>
    <w:rsid w:val="00231C95"/>
    <w:rsid w:val="0023530C"/>
    <w:rsid w:val="00250FD3"/>
    <w:rsid w:val="002516E1"/>
    <w:rsid w:val="002908A1"/>
    <w:rsid w:val="00295401"/>
    <w:rsid w:val="002A0E65"/>
    <w:rsid w:val="002A2223"/>
    <w:rsid w:val="002A31EC"/>
    <w:rsid w:val="002B6291"/>
    <w:rsid w:val="002B68A8"/>
    <w:rsid w:val="002D351B"/>
    <w:rsid w:val="002D6E51"/>
    <w:rsid w:val="002D6FD7"/>
    <w:rsid w:val="002D772B"/>
    <w:rsid w:val="00305624"/>
    <w:rsid w:val="00306A2C"/>
    <w:rsid w:val="003071D4"/>
    <w:rsid w:val="003276DC"/>
    <w:rsid w:val="00330212"/>
    <w:rsid w:val="00346350"/>
    <w:rsid w:val="00351252"/>
    <w:rsid w:val="003669ED"/>
    <w:rsid w:val="003730D7"/>
    <w:rsid w:val="003A410C"/>
    <w:rsid w:val="003D2195"/>
    <w:rsid w:val="003D6573"/>
    <w:rsid w:val="004156ED"/>
    <w:rsid w:val="00416A37"/>
    <w:rsid w:val="00432BAA"/>
    <w:rsid w:val="0043707F"/>
    <w:rsid w:val="00437C9B"/>
    <w:rsid w:val="00443A80"/>
    <w:rsid w:val="00445DC1"/>
    <w:rsid w:val="004730A4"/>
    <w:rsid w:val="004774BB"/>
    <w:rsid w:val="00496380"/>
    <w:rsid w:val="004B48E2"/>
    <w:rsid w:val="004C22A8"/>
    <w:rsid w:val="004C4F3D"/>
    <w:rsid w:val="004C7958"/>
    <w:rsid w:val="004D7884"/>
    <w:rsid w:val="004E24D1"/>
    <w:rsid w:val="004E7FB7"/>
    <w:rsid w:val="004F18AC"/>
    <w:rsid w:val="004F4BEF"/>
    <w:rsid w:val="00503ECE"/>
    <w:rsid w:val="005108CA"/>
    <w:rsid w:val="00512ED6"/>
    <w:rsid w:val="0052013A"/>
    <w:rsid w:val="005377ED"/>
    <w:rsid w:val="00556F50"/>
    <w:rsid w:val="0056416C"/>
    <w:rsid w:val="00591119"/>
    <w:rsid w:val="00595BAB"/>
    <w:rsid w:val="005A10A6"/>
    <w:rsid w:val="005A6DF6"/>
    <w:rsid w:val="005D7788"/>
    <w:rsid w:val="005E5DFA"/>
    <w:rsid w:val="005F694E"/>
    <w:rsid w:val="00605DAC"/>
    <w:rsid w:val="006142E0"/>
    <w:rsid w:val="00621B24"/>
    <w:rsid w:val="00636292"/>
    <w:rsid w:val="00667E0A"/>
    <w:rsid w:val="00673E83"/>
    <w:rsid w:val="00696CE1"/>
    <w:rsid w:val="00697B83"/>
    <w:rsid w:val="00697C74"/>
    <w:rsid w:val="006B3C6F"/>
    <w:rsid w:val="006D2610"/>
    <w:rsid w:val="006D2812"/>
    <w:rsid w:val="0070174E"/>
    <w:rsid w:val="00726CB3"/>
    <w:rsid w:val="00731B12"/>
    <w:rsid w:val="007537C5"/>
    <w:rsid w:val="00762957"/>
    <w:rsid w:val="0078076A"/>
    <w:rsid w:val="00787C3A"/>
    <w:rsid w:val="007A1892"/>
    <w:rsid w:val="007C3F9D"/>
    <w:rsid w:val="007D3C0E"/>
    <w:rsid w:val="007F1630"/>
    <w:rsid w:val="00804F82"/>
    <w:rsid w:val="00821600"/>
    <w:rsid w:val="00852BB7"/>
    <w:rsid w:val="00857E8D"/>
    <w:rsid w:val="008651F7"/>
    <w:rsid w:val="00875C42"/>
    <w:rsid w:val="00887638"/>
    <w:rsid w:val="00887C06"/>
    <w:rsid w:val="008916D9"/>
    <w:rsid w:val="008D51C5"/>
    <w:rsid w:val="008E350F"/>
    <w:rsid w:val="00901546"/>
    <w:rsid w:val="009162CE"/>
    <w:rsid w:val="0092307E"/>
    <w:rsid w:val="00955009"/>
    <w:rsid w:val="009631CD"/>
    <w:rsid w:val="00966688"/>
    <w:rsid w:val="00991303"/>
    <w:rsid w:val="009A1CE4"/>
    <w:rsid w:val="009B0BE2"/>
    <w:rsid w:val="009D58DD"/>
    <w:rsid w:val="009D5EBA"/>
    <w:rsid w:val="009E26ED"/>
    <w:rsid w:val="009E52E4"/>
    <w:rsid w:val="009F07CA"/>
    <w:rsid w:val="009F6DB5"/>
    <w:rsid w:val="00A00600"/>
    <w:rsid w:val="00A1337A"/>
    <w:rsid w:val="00A20750"/>
    <w:rsid w:val="00A437BC"/>
    <w:rsid w:val="00A642B9"/>
    <w:rsid w:val="00A730AF"/>
    <w:rsid w:val="00A80FC9"/>
    <w:rsid w:val="00A94B9E"/>
    <w:rsid w:val="00AA2D88"/>
    <w:rsid w:val="00AB319F"/>
    <w:rsid w:val="00AC56B8"/>
    <w:rsid w:val="00AC6DD3"/>
    <w:rsid w:val="00AC742A"/>
    <w:rsid w:val="00AF45FA"/>
    <w:rsid w:val="00B07B92"/>
    <w:rsid w:val="00B149E4"/>
    <w:rsid w:val="00B17410"/>
    <w:rsid w:val="00B47475"/>
    <w:rsid w:val="00B574AE"/>
    <w:rsid w:val="00B657E8"/>
    <w:rsid w:val="00B73EC6"/>
    <w:rsid w:val="00B778B4"/>
    <w:rsid w:val="00BC15F8"/>
    <w:rsid w:val="00BD0421"/>
    <w:rsid w:val="00BD56DB"/>
    <w:rsid w:val="00C025E2"/>
    <w:rsid w:val="00C03774"/>
    <w:rsid w:val="00C147AD"/>
    <w:rsid w:val="00C15E2A"/>
    <w:rsid w:val="00C35E45"/>
    <w:rsid w:val="00C45D7E"/>
    <w:rsid w:val="00C47EDD"/>
    <w:rsid w:val="00C5444E"/>
    <w:rsid w:val="00C550C8"/>
    <w:rsid w:val="00C64FFC"/>
    <w:rsid w:val="00C70F03"/>
    <w:rsid w:val="00C75B1A"/>
    <w:rsid w:val="00C81825"/>
    <w:rsid w:val="00C86135"/>
    <w:rsid w:val="00C974B0"/>
    <w:rsid w:val="00CA333E"/>
    <w:rsid w:val="00CD5729"/>
    <w:rsid w:val="00CD637E"/>
    <w:rsid w:val="00CE1379"/>
    <w:rsid w:val="00D219A8"/>
    <w:rsid w:val="00D30A9C"/>
    <w:rsid w:val="00D30CC2"/>
    <w:rsid w:val="00D31783"/>
    <w:rsid w:val="00D43FEB"/>
    <w:rsid w:val="00D62C13"/>
    <w:rsid w:val="00D77849"/>
    <w:rsid w:val="00D85F47"/>
    <w:rsid w:val="00D87B63"/>
    <w:rsid w:val="00D90A49"/>
    <w:rsid w:val="00D93314"/>
    <w:rsid w:val="00DA2B10"/>
    <w:rsid w:val="00DB6D59"/>
    <w:rsid w:val="00DD2733"/>
    <w:rsid w:val="00DD43C1"/>
    <w:rsid w:val="00DD4D69"/>
    <w:rsid w:val="00E276B3"/>
    <w:rsid w:val="00E31C9F"/>
    <w:rsid w:val="00E3554E"/>
    <w:rsid w:val="00E47793"/>
    <w:rsid w:val="00E65A89"/>
    <w:rsid w:val="00E96094"/>
    <w:rsid w:val="00E960D2"/>
    <w:rsid w:val="00EA2FB1"/>
    <w:rsid w:val="00EA6C16"/>
    <w:rsid w:val="00EB1472"/>
    <w:rsid w:val="00EB3BEC"/>
    <w:rsid w:val="00EB7F1F"/>
    <w:rsid w:val="00ED18FA"/>
    <w:rsid w:val="00ED27B7"/>
    <w:rsid w:val="00ED6BA6"/>
    <w:rsid w:val="00EF5CE5"/>
    <w:rsid w:val="00F158D2"/>
    <w:rsid w:val="00F21903"/>
    <w:rsid w:val="00F238B5"/>
    <w:rsid w:val="00F32DDF"/>
    <w:rsid w:val="00F52791"/>
    <w:rsid w:val="00F540DF"/>
    <w:rsid w:val="00F63864"/>
    <w:rsid w:val="00F65DC5"/>
    <w:rsid w:val="00F70AF2"/>
    <w:rsid w:val="00F8079D"/>
    <w:rsid w:val="00F81F04"/>
    <w:rsid w:val="00F9401D"/>
    <w:rsid w:val="00FC4EAC"/>
    <w:rsid w:val="00FD4304"/>
    <w:rsid w:val="00FE1091"/>
    <w:rsid w:val="00FE4666"/>
    <w:rsid w:val="00FE7F0F"/>
    <w:rsid w:val="0AE47455"/>
    <w:rsid w:val="26EC1641"/>
    <w:rsid w:val="28A852A0"/>
    <w:rsid w:val="456B7BF7"/>
    <w:rsid w:val="6A1E3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8A248-4772-4933-9DDE-227789CFA92D}">
  <ds:schemaRefs/>
</ds:datastoreItem>
</file>

<file path=docProps/app.xml><?xml version="1.0" encoding="utf-8"?>
<Properties xmlns="http://schemas.openxmlformats.org/officeDocument/2006/extended-properties" xmlns:vt="http://schemas.openxmlformats.org/officeDocument/2006/docPropsVTypes">
  <Template>Normal.dotm</Template>
  <Pages>4</Pages>
  <Words>3198</Words>
  <Characters>3354</Characters>
  <Lines>25</Lines>
  <Paragraphs>7</Paragraphs>
  <TotalTime>15</TotalTime>
  <ScaleCrop>false</ScaleCrop>
  <LinksUpToDate>false</LinksUpToDate>
  <CharactersWithSpaces>3486</CharactersWithSpaces>
  <Application>WPS Office_12.8.2.18581_F1E327BC-269C-435d-A152-05C5408002CA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2015-12-17T06:00:00Z</dcterms:created>
  <dc:creator>田晓伟</dc:creator>
  <cp:lastModifiedBy>霍达</cp:lastModifiedBy>
  <cp:lastPrinted>2015-12-17T06:53:00Z</cp:lastPrinted>
  <dcterms:modified xsi:type="dcterms:W3CDTF">2025-08-05T06:44:22Z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2052-12.8.2.18581</vt:lpwstr>
  </property>
  <property fmtid="{D5CDD505-2E9C-101B-9397-08002B2CF9AE}" pid="3" name="ICV">
    <vt:lpwstr>CD988F48FD874700A48A6C3A2CEA7F48_13</vt:lpwstr>
  </property>
  <property fmtid="{D5CDD505-2E9C-101B-9397-08002B2CF9AE}" pid="4" name="KSOTemplateDocerSaveRecord">
    <vt:lpwstr>eyJoZGlkIjoiN2I5OGE0YWU0NDA1NjllYmQ5NWUyOTJmNzRiYjM1OWEifQ==</vt:lpwstr>
  </property>
</Properties>
</file>