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10EDDB">
      <w:pPr>
        <w:spacing w:line="220" w:lineRule="exact"/>
        <w:ind w:left="-141" w:leftChars="-67"/>
        <w:jc w:val="left"/>
        <w:rPr>
          <w:rFonts w:hint="eastAsia"/>
          <w:sz w:val="18"/>
        </w:rPr>
      </w:pPr>
      <w:r>
        <w:rPr>
          <w:rFonts w:hint="eastAsia"/>
          <w:sz w:val="18"/>
        </w:rPr>
        <w:t>附件4：受益所有人信息采集表填表说明</w:t>
      </w:r>
    </w:p>
    <w:p w14:paraId="39D460BD">
      <w:pPr>
        <w:spacing w:line="220" w:lineRule="exact"/>
        <w:ind w:left="-141" w:leftChars="-67"/>
        <w:jc w:val="center"/>
        <w:rPr>
          <w:rFonts w:hint="eastAsia" w:asciiTheme="minorEastAsia" w:hAnsiTheme="minorEastAsia"/>
          <w:b/>
          <w:szCs w:val="21"/>
        </w:rPr>
      </w:pPr>
    </w:p>
    <w:p w14:paraId="6205D35B">
      <w:pPr>
        <w:spacing w:line="220" w:lineRule="exact"/>
        <w:ind w:left="-141" w:leftChars="-67"/>
        <w:jc w:val="center"/>
        <w:rPr>
          <w:rFonts w:asciiTheme="minorEastAsia" w:hAnsiTheme="minorEastAsia"/>
          <w:b/>
          <w:szCs w:val="21"/>
        </w:rPr>
      </w:pPr>
      <w:r>
        <w:rPr>
          <w:rFonts w:hint="eastAsia" w:asciiTheme="minorEastAsia" w:hAnsiTheme="minorEastAsia"/>
          <w:b/>
          <w:szCs w:val="21"/>
        </w:rPr>
        <w:t>受益所有人信息采集表填表说明</w:t>
      </w:r>
    </w:p>
    <w:p w14:paraId="5691DA5C">
      <w:pPr>
        <w:spacing w:line="220" w:lineRule="exact"/>
        <w:ind w:left="-141" w:leftChars="-67"/>
        <w:rPr>
          <w:rFonts w:asciiTheme="minorEastAsia" w:hAnsiTheme="minorEastAsia"/>
          <w:b/>
          <w:sz w:val="15"/>
          <w:szCs w:val="15"/>
        </w:rPr>
      </w:pPr>
    </w:p>
    <w:p w14:paraId="28FC6547">
      <w:pPr>
        <w:spacing w:line="220" w:lineRule="exact"/>
        <w:ind w:firstLine="320" w:firstLineChars="177"/>
        <w:rPr>
          <w:rFonts w:asciiTheme="minorEastAsia" w:hAnsiTheme="minorEastAsia"/>
          <w:sz w:val="15"/>
          <w:szCs w:val="15"/>
        </w:rPr>
      </w:pPr>
      <w:r>
        <w:rPr>
          <w:rFonts w:hint="eastAsia" w:asciiTheme="minorEastAsia" w:hAnsiTheme="minorEastAsia"/>
          <w:b/>
          <w:sz w:val="18"/>
          <w:szCs w:val="18"/>
        </w:rPr>
        <w:t>（一）公司客户应在表中填写符合下列条件的自然人信息</w:t>
      </w:r>
      <w:r>
        <w:rPr>
          <w:rFonts w:hint="eastAsia" w:asciiTheme="minorEastAsia" w:hAnsiTheme="minorEastAsia"/>
          <w:sz w:val="15"/>
          <w:szCs w:val="15"/>
        </w:rPr>
        <w:t>：</w:t>
      </w:r>
    </w:p>
    <w:p w14:paraId="510BEB67">
      <w:pPr>
        <w:spacing w:line="220" w:lineRule="exact"/>
        <w:ind w:firstLine="265" w:firstLineChars="177"/>
        <w:rPr>
          <w:rFonts w:asciiTheme="minorEastAsia" w:hAnsiTheme="minorEastAsia"/>
          <w:sz w:val="15"/>
          <w:szCs w:val="15"/>
        </w:rPr>
      </w:pPr>
      <w:r>
        <w:rPr>
          <w:rFonts w:hint="eastAsia" w:asciiTheme="minorEastAsia" w:hAnsiTheme="minorEastAsia"/>
          <w:sz w:val="15"/>
          <w:szCs w:val="15"/>
        </w:rPr>
        <w:t>1. 直接或间接拥有超过25%公司股权或者表决权的自然人是判定公司受益所有人的基本方法。需要计算间接拥有股权或者表决权的，按照股权和表决权孰高原则，将各层级实际占有的股权或者表决权比例相乘求和计算，</w:t>
      </w:r>
    </w:p>
    <w:p w14:paraId="745C0EFF">
      <w:pPr>
        <w:spacing w:line="220" w:lineRule="exact"/>
        <w:ind w:firstLine="265" w:firstLineChars="177"/>
        <w:rPr>
          <w:rFonts w:asciiTheme="minorEastAsia" w:hAnsiTheme="minorEastAsia"/>
          <w:sz w:val="15"/>
          <w:szCs w:val="15"/>
        </w:rPr>
      </w:pPr>
      <w:r>
        <w:rPr>
          <w:rFonts w:hint="eastAsia" w:asciiTheme="minorEastAsia" w:hAnsiTheme="minorEastAsia"/>
          <w:sz w:val="15"/>
          <w:szCs w:val="15"/>
        </w:rPr>
        <w:t>将直接或间接拥有超过 25%公司股权或者表决权的自然人填入表格中，“持股比例”填写实际占有的股权或者表决权比例。</w:t>
      </w:r>
    </w:p>
    <w:p w14:paraId="4312C8CF">
      <w:pPr>
        <w:spacing w:line="220" w:lineRule="exact"/>
        <w:ind w:firstLine="265" w:firstLineChars="177"/>
        <w:rPr>
          <w:rFonts w:asciiTheme="minorEastAsia" w:hAnsiTheme="minorEastAsia"/>
          <w:sz w:val="15"/>
          <w:szCs w:val="15"/>
        </w:rPr>
      </w:pPr>
      <w:r>
        <w:rPr>
          <w:rFonts w:hint="eastAsia" w:asciiTheme="minorEastAsia" w:hAnsiTheme="minorEastAsia"/>
          <w:sz w:val="15"/>
          <w:szCs w:val="15"/>
        </w:rPr>
        <w:t>2. 如果未识别出直接或者间接拥有超过25%公司股权或者表决权的自然人，或者满足前述标准的自然人是否为受益所有人存疑的，则将通过人事、财务等方个式对公司进行控制的自然人判定为受益所有人填入表格中，其中“持股比例”为空。</w:t>
      </w:r>
    </w:p>
    <w:p w14:paraId="2EF3C203">
      <w:pPr>
        <w:spacing w:line="220" w:lineRule="exact"/>
        <w:ind w:firstLine="265" w:firstLineChars="177"/>
        <w:rPr>
          <w:rFonts w:asciiTheme="minorEastAsia" w:hAnsiTheme="minorEastAsia"/>
          <w:sz w:val="15"/>
          <w:szCs w:val="15"/>
        </w:rPr>
      </w:pPr>
      <w:r>
        <w:rPr>
          <w:rFonts w:hint="eastAsia" w:asciiTheme="minorEastAsia" w:hAnsiTheme="minorEastAsia"/>
          <w:sz w:val="15"/>
          <w:szCs w:val="15"/>
        </w:rPr>
        <w:t>3. 如果不存在通过人事、财务等方式对公司进行控制的自然人，则将公司的高级管理人员判定为受益所有人填入表格中，其中“持股比例”为空。</w:t>
      </w:r>
    </w:p>
    <w:p w14:paraId="780D0EB4">
      <w:pPr>
        <w:spacing w:line="220" w:lineRule="exact"/>
        <w:ind w:firstLine="265" w:firstLineChars="177"/>
        <w:rPr>
          <w:rFonts w:asciiTheme="minorEastAsia" w:hAnsiTheme="minorEastAsia"/>
          <w:sz w:val="15"/>
          <w:szCs w:val="15"/>
        </w:rPr>
      </w:pPr>
      <w:r>
        <w:rPr>
          <w:rFonts w:hint="eastAsia" w:asciiTheme="minorEastAsia" w:hAnsiTheme="minorEastAsia"/>
          <w:sz w:val="15"/>
          <w:szCs w:val="15"/>
        </w:rPr>
        <w:t>4. 如果对将高级管理人员判定为受益所有人存疑的，则将高级管理人员之外的对公司形成有效控制或者实际影响的其他自然人判定为受益所有人填入表格中，其中“持股比例”为空。</w:t>
      </w:r>
    </w:p>
    <w:p w14:paraId="1F3213B1">
      <w:pPr>
        <w:spacing w:line="220" w:lineRule="exact"/>
        <w:ind w:firstLine="265" w:firstLineChars="177"/>
        <w:rPr>
          <w:rFonts w:asciiTheme="minorEastAsia" w:hAnsiTheme="minorEastAsia"/>
          <w:sz w:val="15"/>
          <w:szCs w:val="15"/>
        </w:rPr>
      </w:pPr>
      <w:r>
        <w:rPr>
          <w:rFonts w:hint="eastAsia" w:asciiTheme="minorEastAsia" w:hAnsiTheme="minorEastAsia"/>
          <w:sz w:val="15"/>
          <w:szCs w:val="15"/>
        </w:rPr>
        <w:t>5. 表中的全部自然人均为客户的受益所有人。</w:t>
      </w:r>
      <w:bookmarkStart w:id="0" w:name="_GoBack"/>
      <w:bookmarkEnd w:id="0"/>
    </w:p>
    <w:p w14:paraId="6BD933DE">
      <w:pPr>
        <w:spacing w:line="220" w:lineRule="exact"/>
        <w:ind w:firstLine="265" w:firstLineChars="177"/>
        <w:rPr>
          <w:rFonts w:asciiTheme="minorEastAsia" w:hAnsiTheme="minorEastAsia"/>
          <w:sz w:val="15"/>
          <w:szCs w:val="15"/>
        </w:rPr>
      </w:pPr>
      <w:r>
        <w:rPr>
          <w:rFonts w:hint="eastAsia" w:asciiTheme="minorEastAsia" w:hAnsiTheme="minorEastAsia"/>
          <w:sz w:val="15"/>
          <w:szCs w:val="15"/>
        </w:rPr>
        <w:t>6. 表格不可为空，至少应有一名受益所有人。</w:t>
      </w:r>
    </w:p>
    <w:p w14:paraId="215015CF">
      <w:pPr>
        <w:spacing w:line="220" w:lineRule="exact"/>
        <w:ind w:firstLine="267" w:firstLineChars="177"/>
        <w:rPr>
          <w:rFonts w:asciiTheme="minorEastAsia" w:hAnsiTheme="minorEastAsia"/>
          <w:b/>
          <w:sz w:val="15"/>
          <w:szCs w:val="15"/>
        </w:rPr>
      </w:pPr>
    </w:p>
    <w:p w14:paraId="2C6AE4D2">
      <w:pPr>
        <w:spacing w:line="220" w:lineRule="exact"/>
        <w:ind w:firstLine="320" w:firstLineChars="177"/>
        <w:rPr>
          <w:rFonts w:asciiTheme="minorEastAsia" w:hAnsiTheme="minorEastAsia"/>
          <w:b/>
          <w:sz w:val="18"/>
          <w:szCs w:val="18"/>
        </w:rPr>
      </w:pPr>
      <w:r>
        <w:rPr>
          <w:rFonts w:hint="eastAsia" w:asciiTheme="minorEastAsia" w:hAnsiTheme="minorEastAsia"/>
          <w:b/>
          <w:sz w:val="18"/>
          <w:szCs w:val="18"/>
        </w:rPr>
        <w:t>（二）合伙企业客户应在表中填写符合下列条件的自然人信息：</w:t>
      </w:r>
    </w:p>
    <w:p w14:paraId="72A4165A">
      <w:pPr>
        <w:spacing w:line="220" w:lineRule="exact"/>
        <w:ind w:firstLine="265" w:firstLineChars="177"/>
        <w:rPr>
          <w:rFonts w:asciiTheme="minorEastAsia" w:hAnsiTheme="minorEastAsia"/>
          <w:sz w:val="15"/>
          <w:szCs w:val="15"/>
        </w:rPr>
      </w:pPr>
      <w:r>
        <w:rPr>
          <w:rFonts w:hint="eastAsia" w:asciiTheme="minorEastAsia" w:hAnsiTheme="minorEastAsia"/>
          <w:sz w:val="15"/>
          <w:szCs w:val="15"/>
        </w:rPr>
        <w:t>1. 直接或间接拥有超过 25%合伙权益的自然人是判定合伙企业受益所有人的基本方法。需要计算间接拥有合伙权益的，将各层级实际占有的合伙权益比例相乘求和计算。</w:t>
      </w:r>
    </w:p>
    <w:p w14:paraId="6080A783">
      <w:pPr>
        <w:spacing w:line="220" w:lineRule="exact"/>
        <w:ind w:firstLine="265" w:firstLineChars="177"/>
        <w:rPr>
          <w:rFonts w:asciiTheme="minorEastAsia" w:hAnsiTheme="minorEastAsia"/>
          <w:sz w:val="15"/>
          <w:szCs w:val="15"/>
        </w:rPr>
      </w:pPr>
      <w:r>
        <w:rPr>
          <w:rFonts w:hint="eastAsia" w:asciiTheme="minorEastAsia" w:hAnsiTheme="minorEastAsia"/>
          <w:sz w:val="15"/>
          <w:szCs w:val="15"/>
        </w:rPr>
        <w:t>将直接或间接拥有超过25%合伙权益的自然人填入表格中，“权益比例”填写实际占有的合伙权益比例。</w:t>
      </w:r>
    </w:p>
    <w:p w14:paraId="33E51E05">
      <w:pPr>
        <w:spacing w:line="220" w:lineRule="exact"/>
        <w:ind w:firstLine="265" w:firstLineChars="177"/>
        <w:rPr>
          <w:rFonts w:asciiTheme="minorEastAsia" w:hAnsiTheme="minorEastAsia"/>
          <w:sz w:val="15"/>
          <w:szCs w:val="15"/>
        </w:rPr>
      </w:pPr>
      <w:r>
        <w:rPr>
          <w:rFonts w:hint="eastAsia" w:asciiTheme="minorEastAsia" w:hAnsiTheme="minorEastAsia"/>
          <w:sz w:val="15"/>
          <w:szCs w:val="15"/>
        </w:rPr>
        <w:t>2. 如果未识别出直接或者间接拥有超过25%合伙权益的自然人，或者满足前述标准的自然人是否为受益所有人存疑的，则将通过人事、财务等方式对合伙企业进行控制的自然人判定为受益所有人填入表格中，其中“权益比例”为空。</w:t>
      </w:r>
    </w:p>
    <w:p w14:paraId="7399A539">
      <w:pPr>
        <w:spacing w:line="220" w:lineRule="exact"/>
        <w:ind w:firstLine="265" w:firstLineChars="177"/>
        <w:rPr>
          <w:rFonts w:asciiTheme="minorEastAsia" w:hAnsiTheme="minorEastAsia"/>
          <w:sz w:val="15"/>
          <w:szCs w:val="15"/>
        </w:rPr>
      </w:pPr>
      <w:r>
        <w:rPr>
          <w:rFonts w:hint="eastAsia" w:asciiTheme="minorEastAsia" w:hAnsiTheme="minorEastAsia"/>
          <w:sz w:val="15"/>
          <w:szCs w:val="15"/>
        </w:rPr>
        <w:t>3. 如果不存在通过人事、财务等方式对合伙企业进行控制的自然人，则将合伙企业的高级管理人员判定为受益所有人填入表格中，其中“权益比例”为空，</w:t>
      </w:r>
    </w:p>
    <w:p w14:paraId="09907D2F">
      <w:pPr>
        <w:spacing w:line="220" w:lineRule="exact"/>
        <w:ind w:firstLine="265" w:firstLineChars="177"/>
        <w:rPr>
          <w:rFonts w:asciiTheme="minorEastAsia" w:hAnsiTheme="minorEastAsia"/>
          <w:sz w:val="15"/>
          <w:szCs w:val="15"/>
        </w:rPr>
      </w:pPr>
      <w:r>
        <w:rPr>
          <w:rFonts w:hint="eastAsia" w:asciiTheme="minorEastAsia" w:hAnsiTheme="minorEastAsia"/>
          <w:sz w:val="15"/>
          <w:szCs w:val="15"/>
        </w:rPr>
        <w:t>4. 如果对将高级管理人员判定为受益所有人存疑的，则将高级管理人员之外的对合伙企业形成有效控制或者实际影响的其他自然人判定为受益所有人填入表格中，其中“权益比例”为空。</w:t>
      </w:r>
    </w:p>
    <w:p w14:paraId="4460994C">
      <w:pPr>
        <w:spacing w:line="220" w:lineRule="exact"/>
        <w:ind w:firstLine="265" w:firstLineChars="177"/>
        <w:rPr>
          <w:rFonts w:asciiTheme="minorEastAsia" w:hAnsiTheme="minorEastAsia"/>
          <w:sz w:val="15"/>
          <w:szCs w:val="15"/>
        </w:rPr>
      </w:pPr>
      <w:r>
        <w:rPr>
          <w:rFonts w:hint="eastAsia" w:asciiTheme="minorEastAsia" w:hAnsiTheme="minorEastAsia"/>
          <w:sz w:val="15"/>
          <w:szCs w:val="15"/>
        </w:rPr>
        <w:t>5. 采取上述措施仍无法判定合伙企业受益所有人的，至少应将营业执照载明的（自然人）执行事务合伙人或营业执照载明的（非自然人）执行事务合伙人的委派代表判定为受益所有人填入表格中，其中“权益比例”为空，</w:t>
      </w:r>
    </w:p>
    <w:p w14:paraId="78F7996C">
      <w:pPr>
        <w:spacing w:line="220" w:lineRule="exact"/>
        <w:ind w:firstLine="265" w:firstLineChars="177"/>
        <w:rPr>
          <w:rFonts w:asciiTheme="minorEastAsia" w:hAnsiTheme="minorEastAsia"/>
          <w:sz w:val="15"/>
          <w:szCs w:val="15"/>
        </w:rPr>
      </w:pPr>
      <w:r>
        <w:rPr>
          <w:rFonts w:hint="eastAsia" w:asciiTheme="minorEastAsia" w:hAnsiTheme="minorEastAsia"/>
          <w:sz w:val="15"/>
          <w:szCs w:val="15"/>
        </w:rPr>
        <w:t>6. 表中的全部自然人均为客户的受益所有人。</w:t>
      </w:r>
    </w:p>
    <w:p w14:paraId="2C46C1D5">
      <w:pPr>
        <w:spacing w:line="220" w:lineRule="exact"/>
        <w:ind w:firstLine="265" w:firstLineChars="177"/>
        <w:rPr>
          <w:rFonts w:asciiTheme="minorEastAsia" w:hAnsiTheme="minorEastAsia"/>
          <w:sz w:val="15"/>
          <w:szCs w:val="15"/>
        </w:rPr>
      </w:pPr>
      <w:r>
        <w:rPr>
          <w:rFonts w:hint="eastAsia" w:asciiTheme="minorEastAsia" w:hAnsiTheme="minorEastAsia"/>
          <w:sz w:val="15"/>
          <w:szCs w:val="15"/>
        </w:rPr>
        <w:t>7. 表格不可为空，至少应有一名受益所有人。</w:t>
      </w:r>
    </w:p>
    <w:p w14:paraId="63E1638A">
      <w:pPr>
        <w:spacing w:line="220" w:lineRule="exact"/>
        <w:ind w:firstLine="320" w:firstLineChars="177"/>
        <w:rPr>
          <w:rFonts w:asciiTheme="minorEastAsia" w:hAnsiTheme="minorEastAsia"/>
          <w:b/>
          <w:sz w:val="18"/>
          <w:szCs w:val="18"/>
        </w:rPr>
      </w:pPr>
      <w:r>
        <w:rPr>
          <w:rFonts w:hint="eastAsia" w:asciiTheme="minorEastAsia" w:hAnsiTheme="minorEastAsia"/>
          <w:b/>
          <w:sz w:val="18"/>
          <w:szCs w:val="18"/>
        </w:rPr>
        <w:t>（三）信托产品客户应在表中填写符合下列条件的自然人或非自然人信息：</w:t>
      </w:r>
    </w:p>
    <w:p w14:paraId="1EE378A4">
      <w:pPr>
        <w:spacing w:line="220" w:lineRule="exact"/>
        <w:ind w:firstLine="265" w:firstLineChars="177"/>
        <w:rPr>
          <w:rFonts w:asciiTheme="minorEastAsia" w:hAnsiTheme="minorEastAsia"/>
          <w:sz w:val="15"/>
          <w:szCs w:val="15"/>
        </w:rPr>
      </w:pPr>
      <w:r>
        <w:rPr>
          <w:rFonts w:hint="eastAsia" w:asciiTheme="minorEastAsia" w:hAnsiTheme="minorEastAsia"/>
          <w:sz w:val="15"/>
          <w:szCs w:val="15"/>
        </w:rPr>
        <w:t>1.信托产品的委托人、受托人、受益人等基本信息，“当事人类型”填写委托人（受益人）／受托人。如果该委托人（受益人）为自然人（A）, 则A为客户的受益所有人；如果该委托人（受益人）为非自然人（B）, 则继续对 B 进行穿透识别，将最终享有信托权益的自然人判定为客户的受益所有人填入非自然人（B）的下一行中，“当事人类型”为空。</w:t>
      </w:r>
    </w:p>
    <w:p w14:paraId="71726C0A">
      <w:pPr>
        <w:spacing w:line="220" w:lineRule="exact"/>
        <w:ind w:firstLine="265" w:firstLineChars="177"/>
        <w:rPr>
          <w:rFonts w:asciiTheme="minorEastAsia" w:hAnsiTheme="minorEastAsia"/>
          <w:sz w:val="15"/>
          <w:szCs w:val="15"/>
        </w:rPr>
      </w:pPr>
      <w:r>
        <w:rPr>
          <w:rFonts w:hint="eastAsia" w:asciiTheme="minorEastAsia" w:hAnsiTheme="minorEastAsia"/>
          <w:sz w:val="15"/>
          <w:szCs w:val="15"/>
        </w:rPr>
        <w:t>受托人为非自然人（C） , 继续对C进行穿透识别，将最终对信托实施有效控制的自然人判定为客户受益所有人填入非自然人（C） 的下一行中，“当事人类型”为空。</w:t>
      </w:r>
    </w:p>
    <w:p w14:paraId="6C4E3B2F">
      <w:pPr>
        <w:spacing w:line="220" w:lineRule="exact"/>
        <w:ind w:firstLine="265" w:firstLineChars="177"/>
        <w:rPr>
          <w:rFonts w:asciiTheme="minorEastAsia" w:hAnsiTheme="minorEastAsia"/>
          <w:sz w:val="15"/>
          <w:szCs w:val="15"/>
        </w:rPr>
      </w:pPr>
      <w:r>
        <w:rPr>
          <w:rFonts w:hint="eastAsia" w:asciiTheme="minorEastAsia" w:hAnsiTheme="minorEastAsia"/>
          <w:sz w:val="15"/>
          <w:szCs w:val="15"/>
        </w:rPr>
        <w:t>2. “类型”列根据实际情况填写“自然人”或“非自然人”。</w:t>
      </w:r>
    </w:p>
    <w:p w14:paraId="029E0099">
      <w:pPr>
        <w:spacing w:line="220" w:lineRule="exact"/>
        <w:ind w:firstLine="265" w:firstLineChars="177"/>
        <w:rPr>
          <w:rFonts w:asciiTheme="minorEastAsia" w:hAnsiTheme="minorEastAsia"/>
          <w:sz w:val="15"/>
          <w:szCs w:val="15"/>
        </w:rPr>
      </w:pPr>
      <w:r>
        <w:rPr>
          <w:rFonts w:hint="eastAsia" w:asciiTheme="minorEastAsia" w:hAnsiTheme="minorEastAsia"/>
          <w:sz w:val="15"/>
          <w:szCs w:val="15"/>
        </w:rPr>
        <w:t>3. 表中的全部自然人均为信托产品客户的受益所有人。</w:t>
      </w:r>
    </w:p>
    <w:p w14:paraId="1B46CD9B">
      <w:pPr>
        <w:spacing w:line="220" w:lineRule="exact"/>
        <w:ind w:firstLine="265" w:firstLineChars="177"/>
        <w:rPr>
          <w:rFonts w:asciiTheme="minorEastAsia" w:hAnsiTheme="minorEastAsia"/>
          <w:sz w:val="15"/>
          <w:szCs w:val="15"/>
        </w:rPr>
      </w:pPr>
      <w:r>
        <w:rPr>
          <w:rFonts w:hint="eastAsia" w:asciiTheme="minorEastAsia" w:hAnsiTheme="minorEastAsia"/>
          <w:sz w:val="15"/>
          <w:szCs w:val="15"/>
        </w:rPr>
        <w:t>4. 表格不可为空，至少应有一名受益所有人。</w:t>
      </w:r>
    </w:p>
    <w:p w14:paraId="5691C70A">
      <w:pPr>
        <w:spacing w:line="220" w:lineRule="exact"/>
        <w:ind w:firstLine="265" w:firstLineChars="177"/>
        <w:rPr>
          <w:rFonts w:asciiTheme="minorEastAsia" w:hAnsiTheme="minorEastAsia"/>
          <w:sz w:val="15"/>
          <w:szCs w:val="15"/>
        </w:rPr>
      </w:pPr>
    </w:p>
    <w:p w14:paraId="5C67907A">
      <w:pPr>
        <w:spacing w:line="220" w:lineRule="exact"/>
        <w:ind w:firstLine="361" w:firstLineChars="200"/>
        <w:rPr>
          <w:rFonts w:asciiTheme="minorEastAsia" w:hAnsiTheme="minorEastAsia"/>
          <w:b/>
          <w:sz w:val="18"/>
          <w:szCs w:val="18"/>
        </w:rPr>
      </w:pPr>
      <w:r>
        <w:rPr>
          <w:rFonts w:hint="eastAsia" w:asciiTheme="minorEastAsia" w:hAnsiTheme="minorEastAsia"/>
          <w:b/>
          <w:sz w:val="18"/>
          <w:szCs w:val="18"/>
        </w:rPr>
        <w:t>（四）基金产品客户应在表中填写符合下列条件的自然人信息：</w:t>
      </w:r>
    </w:p>
    <w:p w14:paraId="51F74E54">
      <w:pPr>
        <w:spacing w:line="220" w:lineRule="exact"/>
        <w:ind w:firstLine="265" w:firstLineChars="177"/>
        <w:rPr>
          <w:rFonts w:asciiTheme="minorEastAsia" w:hAnsiTheme="minorEastAsia"/>
          <w:sz w:val="15"/>
          <w:szCs w:val="15"/>
        </w:rPr>
      </w:pPr>
      <w:r>
        <w:rPr>
          <w:rFonts w:hint="eastAsia" w:asciiTheme="minorEastAsia" w:hAnsiTheme="minorEastAsia"/>
          <w:sz w:val="15"/>
          <w:szCs w:val="15"/>
        </w:rPr>
        <w:t>1. 如直接拥有超过25%该基金权益份额的自然人，其“权益比例”填写其实际持有基金权益份额比例，该自然人为客户的受益所有人。</w:t>
      </w:r>
    </w:p>
    <w:p w14:paraId="52469E4B">
      <w:pPr>
        <w:spacing w:line="220" w:lineRule="exact"/>
        <w:ind w:firstLine="265" w:firstLineChars="177"/>
        <w:rPr>
          <w:rFonts w:asciiTheme="minorEastAsia" w:hAnsiTheme="minorEastAsia"/>
          <w:sz w:val="15"/>
          <w:szCs w:val="15"/>
        </w:rPr>
      </w:pPr>
      <w:r>
        <w:rPr>
          <w:rFonts w:hint="eastAsia" w:asciiTheme="minorEastAsia" w:hAnsiTheme="minorEastAsia"/>
          <w:sz w:val="15"/>
          <w:szCs w:val="15"/>
        </w:rPr>
        <w:t xml:space="preserve">2. 如不存在超过25%基金份额的持有人，则识别拥有基金份额排名前五位的持有人，相关持有人为自然人的直接登记为受益所有人，持有人为机构或产品的，登记相应机构或产品管理人的法定代表人/执行事务合伙人（自然人，执行事务合伙人为机构的，按优先顺序依次登记其委派代表或法定代表人）。 </w:t>
      </w:r>
    </w:p>
    <w:p w14:paraId="7FAE94C1">
      <w:pPr>
        <w:spacing w:line="220" w:lineRule="exact"/>
        <w:ind w:firstLine="265" w:firstLineChars="177"/>
        <w:rPr>
          <w:rFonts w:asciiTheme="minorEastAsia" w:hAnsiTheme="minorEastAsia"/>
          <w:sz w:val="15"/>
          <w:szCs w:val="15"/>
        </w:rPr>
      </w:pPr>
      <w:r>
        <w:rPr>
          <w:rFonts w:hint="eastAsia" w:asciiTheme="minorEastAsia" w:hAnsiTheme="minorEastAsia"/>
          <w:sz w:val="15"/>
          <w:szCs w:val="15"/>
        </w:rPr>
        <w:t>3. 表中的全部自然人均为客户的受益所有人。</w:t>
      </w:r>
    </w:p>
    <w:p w14:paraId="389F4635">
      <w:pPr>
        <w:spacing w:line="220" w:lineRule="exact"/>
        <w:ind w:firstLine="265" w:firstLineChars="177"/>
        <w:rPr>
          <w:rFonts w:asciiTheme="minorEastAsia" w:hAnsiTheme="minorEastAsia"/>
          <w:sz w:val="15"/>
          <w:szCs w:val="15"/>
        </w:rPr>
      </w:pPr>
      <w:r>
        <w:rPr>
          <w:rFonts w:hint="eastAsia" w:asciiTheme="minorEastAsia" w:hAnsiTheme="minorEastAsia"/>
          <w:sz w:val="15"/>
          <w:szCs w:val="15"/>
        </w:rPr>
        <w:t>4. 表格不可为空，至少应有一名受益所有人。</w:t>
      </w:r>
    </w:p>
    <w:p w14:paraId="2BF7E1C9">
      <w:pPr>
        <w:spacing w:line="220" w:lineRule="exact"/>
        <w:ind w:firstLine="267" w:firstLineChars="177"/>
        <w:rPr>
          <w:rFonts w:asciiTheme="minorEastAsia" w:hAnsiTheme="minorEastAsia"/>
          <w:b/>
          <w:sz w:val="15"/>
          <w:szCs w:val="15"/>
        </w:rPr>
      </w:pPr>
    </w:p>
    <w:p w14:paraId="78BEB5A5">
      <w:pPr>
        <w:spacing w:line="220" w:lineRule="exact"/>
        <w:ind w:firstLine="385" w:firstLineChars="213"/>
        <w:rPr>
          <w:rFonts w:asciiTheme="minorEastAsia" w:hAnsiTheme="minorEastAsia"/>
          <w:b/>
          <w:sz w:val="18"/>
          <w:szCs w:val="18"/>
        </w:rPr>
      </w:pPr>
      <w:r>
        <w:rPr>
          <w:rFonts w:hint="eastAsia" w:asciiTheme="minorEastAsia" w:hAnsiTheme="minorEastAsia"/>
          <w:b/>
          <w:sz w:val="18"/>
          <w:szCs w:val="18"/>
        </w:rPr>
        <w:t>（五）资产管理计划客户应在表中填写符合下列条件的自然人信息：</w:t>
      </w:r>
    </w:p>
    <w:p w14:paraId="0F5C42B1">
      <w:pPr>
        <w:spacing w:line="220" w:lineRule="exact"/>
        <w:ind w:firstLine="319" w:firstLineChars="213"/>
        <w:rPr>
          <w:rFonts w:asciiTheme="minorEastAsia" w:hAnsiTheme="minorEastAsia"/>
          <w:sz w:val="15"/>
          <w:szCs w:val="15"/>
        </w:rPr>
      </w:pPr>
      <w:r>
        <w:rPr>
          <w:rFonts w:hint="eastAsia" w:asciiTheme="minorEastAsia" w:hAnsiTheme="minorEastAsia"/>
          <w:sz w:val="15"/>
          <w:szCs w:val="15"/>
        </w:rPr>
        <w:t>1. 如直接拥有超过25%该资产管理计划资产份额的自然人，其“权益比例”填写其实际持有资产份额比例，该自然人为客户的受益所有人。</w:t>
      </w:r>
    </w:p>
    <w:p w14:paraId="699DB6EC">
      <w:pPr>
        <w:spacing w:line="220" w:lineRule="exact"/>
        <w:ind w:firstLine="319" w:firstLineChars="213"/>
        <w:rPr>
          <w:rFonts w:asciiTheme="minorEastAsia" w:hAnsiTheme="minorEastAsia"/>
          <w:sz w:val="15"/>
          <w:szCs w:val="15"/>
        </w:rPr>
      </w:pPr>
      <w:r>
        <w:rPr>
          <w:rFonts w:hint="eastAsia" w:asciiTheme="minorEastAsia" w:hAnsiTheme="minorEastAsia"/>
          <w:sz w:val="15"/>
          <w:szCs w:val="15"/>
        </w:rPr>
        <w:t>2. 如没有直接拥有超过25%该资产管理计划资产份额的自然人，则在表中第一行填写投资经理或直接操作管理资产管理计划的自然人。“权益比例”为空。</w:t>
      </w:r>
    </w:p>
    <w:p w14:paraId="750A0624">
      <w:pPr>
        <w:spacing w:line="220" w:lineRule="exact"/>
        <w:ind w:firstLine="319" w:firstLineChars="213"/>
        <w:rPr>
          <w:rFonts w:asciiTheme="minorEastAsia" w:hAnsiTheme="minorEastAsia"/>
          <w:sz w:val="15"/>
          <w:szCs w:val="15"/>
        </w:rPr>
      </w:pPr>
      <w:r>
        <w:rPr>
          <w:rFonts w:hint="eastAsia" w:asciiTheme="minorEastAsia" w:hAnsiTheme="minorEastAsia"/>
          <w:sz w:val="15"/>
          <w:szCs w:val="15"/>
        </w:rPr>
        <w:t>3. 表中的全部自然人均为客户的受益所有人。</w:t>
      </w:r>
    </w:p>
    <w:p w14:paraId="61ED94E1">
      <w:pPr>
        <w:spacing w:line="220" w:lineRule="exact"/>
        <w:ind w:firstLine="319" w:firstLineChars="213"/>
        <w:rPr>
          <w:rFonts w:asciiTheme="minorEastAsia" w:hAnsiTheme="minorEastAsia"/>
          <w:sz w:val="15"/>
          <w:szCs w:val="15"/>
        </w:rPr>
      </w:pPr>
      <w:r>
        <w:rPr>
          <w:rFonts w:hint="eastAsia" w:asciiTheme="minorEastAsia" w:hAnsiTheme="minorEastAsia"/>
          <w:sz w:val="15"/>
          <w:szCs w:val="15"/>
        </w:rPr>
        <w:t>4. 理财产品、资产支持专项计划、员工持股计划等参照前述标准适用本表格：无法参照执行的，可以将其主要负责人、主要管理人或者主要发起人等判定为受益所有人填入表格中。</w:t>
      </w:r>
    </w:p>
    <w:p w14:paraId="698F8CA7">
      <w:pPr>
        <w:spacing w:line="220" w:lineRule="exact"/>
        <w:ind w:firstLine="319" w:firstLineChars="213"/>
        <w:rPr>
          <w:rFonts w:asciiTheme="minorEastAsia" w:hAnsiTheme="minorEastAsia"/>
          <w:sz w:val="15"/>
          <w:szCs w:val="15"/>
        </w:rPr>
      </w:pPr>
      <w:r>
        <w:rPr>
          <w:rFonts w:hint="eastAsia" w:asciiTheme="minorEastAsia" w:hAnsiTheme="minorEastAsia"/>
          <w:sz w:val="15"/>
          <w:szCs w:val="15"/>
        </w:rPr>
        <w:t>5. 表格不可为空，至少应有一名受益所有人。</w:t>
      </w:r>
    </w:p>
    <w:p w14:paraId="59DD588B"/>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204C0A">
    <w:pPr>
      <w:pStyle w:val="3"/>
    </w:pPr>
    <w:r>
      <w:rPr>
        <w:rFonts w:hint="eastAsia" w:eastAsia="宋体"/>
        <w:lang w:eastAsia="zh-CN"/>
      </w:rPr>
      <w:drawing>
        <wp:inline distT="0" distB="0" distL="114300" distR="114300">
          <wp:extent cx="1200785" cy="225425"/>
          <wp:effectExtent l="0" t="0" r="18415" b="3175"/>
          <wp:docPr id="2" name="图片 2" descr="资管logo简称（带英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资管logo简称（带英文）"/>
                  <pic:cNvPicPr>
                    <a:picLocks noChangeAspect="1"/>
                  </pic:cNvPicPr>
                </pic:nvPicPr>
                <pic:blipFill>
                  <a:blip r:embed="rId1"/>
                  <a:stretch>
                    <a:fillRect/>
                  </a:stretch>
                </pic:blipFill>
                <pic:spPr>
                  <a:xfrm>
                    <a:off x="0" y="0"/>
                    <a:ext cx="1200785" cy="22542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76F"/>
    <w:rsid w:val="0064676E"/>
    <w:rsid w:val="006E176F"/>
    <w:rsid w:val="00D13256"/>
    <w:rsid w:val="5ECE3B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semiHidden/>
    <w:unhideWhenUsed/>
    <w:uiPriority w:val="99"/>
    <w:pPr>
      <w:tabs>
        <w:tab w:val="center" w:pos="4153"/>
        <w:tab w:val="right" w:pos="8306"/>
      </w:tabs>
      <w:snapToGrid w:val="0"/>
      <w:jc w:val="left"/>
    </w:pPr>
    <w:rPr>
      <w:sz w:val="18"/>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1899</Words>
  <Characters>1945</Characters>
  <Lines>14</Lines>
  <Paragraphs>4</Paragraphs>
  <TotalTime>0</TotalTime>
  <ScaleCrop>false</ScaleCrop>
  <LinksUpToDate>false</LinksUpToDate>
  <CharactersWithSpaces>1980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2020-09-15T02:36:00Z</dcterms:created>
  <dc:creator>魏小琛</dc:creator>
  <cp:lastModifiedBy>night</cp:lastModifiedBy>
  <dcterms:modified xsi:type="dcterms:W3CDTF">2025-08-02T05:55:30Z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eyJoZGlkIjoiN2I5OGE0YWU0NDA1NjllYmQ5NWUyOTJmNzRiYjM1OWEifQ==</vt:lpwstr>
  </property>
  <property fmtid="{D5CDD505-2E9C-101B-9397-08002B2CF9AE}" pid="3" name="KSOProductBuildVer">
    <vt:lpwstr>2052-12.1.0.20784</vt:lpwstr>
  </property>
  <property fmtid="{D5CDD505-2E9C-101B-9397-08002B2CF9AE}" pid="4" name="ICV">
    <vt:lpwstr>378F849236044B3887FD7F32977D9246_12</vt:lpwstr>
  </property>
</Properties>
</file>