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17B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shd w:val="clear" w:fill="FFFFFF"/>
        </w:rPr>
        <w:t>人民银行 银保监会 证监会 外汇局</w:t>
      </w:r>
    </w:p>
    <w:p w14:paraId="40FE0D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shd w:val="clear" w:fill="FFFFFF"/>
        </w:rPr>
        <w:t>关于规范金融机构资产管理业务的指导意见</w:t>
      </w:r>
    </w:p>
    <w:p w14:paraId="248781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shd w:val="clear" w:fill="FFFFFF"/>
        </w:rPr>
      </w:pPr>
    </w:p>
    <w:p w14:paraId="02114C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资产管理产品的投资者分为不特定社会公众和合格投资者两大类。合格投资者是指具备相应风险识别能力和风险承担能力，投资于单只资产管理产品不低于一定金额且符合下列条件的自然人和法人或者其他组织：</w:t>
      </w:r>
    </w:p>
    <w:p w14:paraId="6129C5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（一）具有2年以上投资经历，且满足以下条件之一：家庭金融净资产不低于300万元，家庭金融资产不低于500万元，或者近3年本人年均收入不低于40万元。</w:t>
      </w:r>
    </w:p>
    <w:p w14:paraId="289ABE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（二）最近1年末净资产不低于1000万元的法人单位。</w:t>
      </w:r>
    </w:p>
    <w:p w14:paraId="021A08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（三）金融管理部门视为合格投资者的其他情形。</w:t>
      </w:r>
    </w:p>
    <w:p w14:paraId="3980FA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合格投资者投资于单只固定收益类产品的金额不低于30万元，投资于单只混合类产品的金额不低于40万元，投资于单只权益类产品、单只商品及金融衍生品类产品的金额不低于100万元。</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95071C"/>
    <w:rsid w:val="52136416"/>
    <w:rsid w:val="733D31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321</Words>
  <Characters>333</Characters>
  <Lines>0</Lines>
  <Paragraphs>0</Paragraphs>
  <TotalTime>96</TotalTime>
  <ScaleCrop>false</ScaleCrop>
  <LinksUpToDate>false</LinksUpToDate>
  <CharactersWithSpaces>336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night</dc:creator>
  <cp:lastModifiedBy>night</cp:lastModifiedBy>
  <dcterms:modified xsi:type="dcterms:W3CDTF">2025-08-03T07:07:54Z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eyJoZGlkIjoiYWJmOTk1MDk0MzY5MTE0N2VmYTA0MWU0NDk1Y2YwODMifQ==</vt:lpwstr>
  </property>
  <property fmtid="{D5CDD505-2E9C-101B-9397-08002B2CF9AE}" pid="4" name="ICV">
    <vt:lpwstr>52C307F6CF3C4B3FB5DF544E35293BEC_12</vt:lpwstr>
  </property>
</Properties>
</file>